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9D0300" w14:textId="77777777" w:rsidR="00265A79" w:rsidRPr="009A39D9" w:rsidRDefault="00265A79" w:rsidP="00E55C0F">
      <w:pPr>
        <w:jc w:val="center"/>
        <w:rPr>
          <w:b/>
          <w:bCs/>
          <w:sz w:val="16"/>
          <w:szCs w:val="16"/>
        </w:rPr>
      </w:pPr>
    </w:p>
    <w:p w14:paraId="0C964FEE" w14:textId="0D61A25B" w:rsidR="003B5066" w:rsidRPr="009A39D9" w:rsidRDefault="00CD14AD" w:rsidP="00E55C0F">
      <w:pPr>
        <w:jc w:val="center"/>
        <w:rPr>
          <w:b/>
          <w:bCs/>
          <w:sz w:val="30"/>
          <w:szCs w:val="30"/>
        </w:rPr>
      </w:pPr>
      <w:r w:rsidRPr="009A39D9">
        <w:rPr>
          <w:b/>
          <w:bCs/>
          <w:sz w:val="30"/>
          <w:szCs w:val="30"/>
        </w:rPr>
        <w:t>La firma</w:t>
      </w:r>
      <w:r w:rsidR="00C85B41" w:rsidRPr="009A39D9">
        <w:rPr>
          <w:b/>
          <w:bCs/>
          <w:sz w:val="30"/>
          <w:szCs w:val="30"/>
        </w:rPr>
        <w:t xml:space="preserve"> </w:t>
      </w:r>
      <w:r w:rsidR="00F7406B" w:rsidRPr="00654D0C">
        <w:rPr>
          <w:b/>
          <w:bCs/>
          <w:sz w:val="30"/>
          <w:szCs w:val="30"/>
        </w:rPr>
        <w:t>IOF II</w:t>
      </w:r>
      <w:r w:rsidR="00F7406B" w:rsidRPr="009A39D9">
        <w:rPr>
          <w:b/>
          <w:bCs/>
          <w:sz w:val="30"/>
          <w:szCs w:val="30"/>
        </w:rPr>
        <w:t xml:space="preserve"> </w:t>
      </w:r>
      <w:r w:rsidR="00654D0C">
        <w:rPr>
          <w:b/>
          <w:bCs/>
          <w:sz w:val="30"/>
          <w:szCs w:val="30"/>
        </w:rPr>
        <w:t>ultima</w:t>
      </w:r>
      <w:r w:rsidR="00654D0C" w:rsidRPr="009A39D9">
        <w:rPr>
          <w:b/>
          <w:bCs/>
          <w:sz w:val="30"/>
          <w:szCs w:val="30"/>
        </w:rPr>
        <w:t xml:space="preserve"> </w:t>
      </w:r>
      <w:r w:rsidR="003B5066" w:rsidRPr="009A39D9">
        <w:rPr>
          <w:b/>
          <w:bCs/>
          <w:sz w:val="30"/>
          <w:szCs w:val="30"/>
        </w:rPr>
        <w:t>la renovación de</w:t>
      </w:r>
      <w:r w:rsidR="00C85B41" w:rsidRPr="009A39D9">
        <w:rPr>
          <w:b/>
          <w:bCs/>
          <w:sz w:val="30"/>
          <w:szCs w:val="30"/>
        </w:rPr>
        <w:t xml:space="preserve"> Marina 206,</w:t>
      </w:r>
      <w:r w:rsidR="003B5066" w:rsidRPr="009A39D9">
        <w:rPr>
          <w:b/>
          <w:bCs/>
          <w:sz w:val="30"/>
          <w:szCs w:val="30"/>
        </w:rPr>
        <w:t xml:space="preserve"> </w:t>
      </w:r>
      <w:r w:rsidR="009A39D9">
        <w:rPr>
          <w:b/>
          <w:bCs/>
          <w:sz w:val="30"/>
          <w:szCs w:val="30"/>
        </w:rPr>
        <w:br/>
      </w:r>
      <w:r w:rsidR="00C85B41" w:rsidRPr="009A39D9">
        <w:rPr>
          <w:b/>
          <w:bCs/>
          <w:sz w:val="30"/>
          <w:szCs w:val="30"/>
        </w:rPr>
        <w:t>nuevo</w:t>
      </w:r>
      <w:r w:rsidR="003B5066" w:rsidRPr="009A39D9">
        <w:rPr>
          <w:b/>
          <w:bCs/>
          <w:sz w:val="30"/>
          <w:szCs w:val="30"/>
        </w:rPr>
        <w:t xml:space="preserve"> edificio de oficinas en Barcelona</w:t>
      </w:r>
      <w:r w:rsidR="00C85B41" w:rsidRPr="009A39D9">
        <w:rPr>
          <w:b/>
          <w:bCs/>
          <w:sz w:val="30"/>
          <w:szCs w:val="30"/>
        </w:rPr>
        <w:t xml:space="preserve"> con los máximos estándares de sostenibilidad</w:t>
      </w:r>
      <w:r w:rsidR="0025517A">
        <w:rPr>
          <w:b/>
          <w:bCs/>
          <w:sz w:val="30"/>
          <w:szCs w:val="30"/>
        </w:rPr>
        <w:t xml:space="preserve"> y conectividad</w:t>
      </w:r>
    </w:p>
    <w:p w14:paraId="0FEB730D" w14:textId="77777777" w:rsidR="00C85B41" w:rsidRPr="00427EC5" w:rsidRDefault="00C85B41" w:rsidP="003B5066">
      <w:pPr>
        <w:rPr>
          <w:b/>
          <w:bCs/>
          <w:sz w:val="12"/>
          <w:szCs w:val="12"/>
        </w:rPr>
      </w:pPr>
    </w:p>
    <w:p w14:paraId="6F066861" w14:textId="3EC0EB6D" w:rsidR="003159F8" w:rsidRDefault="00427EC5" w:rsidP="00C85B41">
      <w:pPr>
        <w:pStyle w:val="Prrafodelista"/>
        <w:numPr>
          <w:ilvl w:val="0"/>
          <w:numId w:val="1"/>
        </w:numPr>
      </w:pPr>
      <w:r>
        <w:t>Est</w:t>
      </w:r>
      <w:r w:rsidR="003159F8">
        <w:t>as oficinas Clase A</w:t>
      </w:r>
      <w:r w:rsidR="00C85B41" w:rsidRPr="003159F8">
        <w:t xml:space="preserve">, </w:t>
      </w:r>
      <w:r w:rsidR="00E10B8A">
        <w:t>situ</w:t>
      </w:r>
      <w:r w:rsidR="003159F8">
        <w:t xml:space="preserve">adas </w:t>
      </w:r>
      <w:r w:rsidR="002C125F">
        <w:t xml:space="preserve">en el distrito del Eixample, </w:t>
      </w:r>
      <w:r w:rsidR="0043041D" w:rsidRPr="00A139CD">
        <w:t>s</w:t>
      </w:r>
      <w:r w:rsidR="0043041D">
        <w:t>erán</w:t>
      </w:r>
      <w:r w:rsidR="0043041D" w:rsidRPr="00A139CD">
        <w:t xml:space="preserve"> </w:t>
      </w:r>
      <w:r w:rsidR="002C125F" w:rsidRPr="00A139CD">
        <w:t>las primeras del territorio</w:t>
      </w:r>
      <w:r w:rsidR="002C125F">
        <w:t xml:space="preserve"> totalmente rehabilitadas que </w:t>
      </w:r>
      <w:r w:rsidR="0043041D">
        <w:t xml:space="preserve">obtengan </w:t>
      </w:r>
      <w:r w:rsidR="002C125F">
        <w:t>las máximas certificaciones</w:t>
      </w:r>
      <w:r w:rsidR="00A139CD">
        <w:t xml:space="preserve"> WiredScore y</w:t>
      </w:r>
      <w:r w:rsidR="002C125F">
        <w:t xml:space="preserve"> LEED y WELL</w:t>
      </w:r>
      <w:r w:rsidR="00DB30B6">
        <w:t xml:space="preserve"> Platinum</w:t>
      </w:r>
    </w:p>
    <w:p w14:paraId="4D372C57" w14:textId="77777777" w:rsidR="00CC11E9" w:rsidRPr="00CF1C2C" w:rsidRDefault="00CC11E9" w:rsidP="00CC11E9">
      <w:pPr>
        <w:pStyle w:val="Prrafodelista"/>
        <w:rPr>
          <w:sz w:val="16"/>
          <w:szCs w:val="16"/>
        </w:rPr>
      </w:pPr>
    </w:p>
    <w:p w14:paraId="333AD063" w14:textId="1171944B" w:rsidR="00654D0C" w:rsidRPr="00654D0C" w:rsidRDefault="00CC11E9" w:rsidP="00654D0C">
      <w:pPr>
        <w:pStyle w:val="Prrafodelista"/>
        <w:numPr>
          <w:ilvl w:val="0"/>
          <w:numId w:val="1"/>
        </w:numPr>
        <w:rPr>
          <w:sz w:val="20"/>
          <w:szCs w:val="20"/>
        </w:rPr>
      </w:pPr>
      <w:r>
        <w:t>El inmueble, comercializado</w:t>
      </w:r>
      <w:r w:rsidR="00D627FF">
        <w:t xml:space="preserve"> en exclusiva </w:t>
      </w:r>
      <w:r>
        <w:t>por</w:t>
      </w:r>
      <w:r w:rsidR="005E0318">
        <w:t xml:space="preserve"> la consultora</w:t>
      </w:r>
      <w:r>
        <w:t xml:space="preserve"> BNP </w:t>
      </w:r>
      <w:proofErr w:type="spellStart"/>
      <w:r>
        <w:t>Paribas</w:t>
      </w:r>
      <w:proofErr w:type="spellEnd"/>
      <w:r w:rsidR="005E0318">
        <w:t xml:space="preserve"> Real Estate</w:t>
      </w:r>
      <w:r>
        <w:t xml:space="preserve">, </w:t>
      </w:r>
      <w:r w:rsidR="005E0318">
        <w:t>cuenta con más de 6.400 m2 distribuidos en nueve plantas, en las que destacan los espacios</w:t>
      </w:r>
      <w:r w:rsidR="007B5A5B">
        <w:t xml:space="preserve"> abiertos,</w:t>
      </w:r>
      <w:r w:rsidR="005E0318">
        <w:t xml:space="preserve"> diáfanos y flexibles</w:t>
      </w:r>
      <w:r w:rsidR="00DB30B6">
        <w:t xml:space="preserve">, así como </w:t>
      </w:r>
      <w:r w:rsidR="00654D0C">
        <w:t>varias</w:t>
      </w:r>
      <w:r w:rsidR="00DB30B6">
        <w:t xml:space="preserve"> terrazas</w:t>
      </w:r>
    </w:p>
    <w:p w14:paraId="72594678" w14:textId="77777777" w:rsidR="00654D0C" w:rsidRPr="00654D0C" w:rsidRDefault="00654D0C" w:rsidP="00654D0C">
      <w:pPr>
        <w:pStyle w:val="Prrafodelista"/>
        <w:rPr>
          <w:highlight w:val="yellow"/>
        </w:rPr>
      </w:pPr>
    </w:p>
    <w:p w14:paraId="2A234893" w14:textId="47C3100D" w:rsidR="007B5A5B" w:rsidRPr="00654D0C" w:rsidRDefault="003C52A6" w:rsidP="00654D0C">
      <w:pPr>
        <w:pStyle w:val="Prrafodelista"/>
        <w:numPr>
          <w:ilvl w:val="0"/>
          <w:numId w:val="1"/>
        </w:numPr>
        <w:rPr>
          <w:sz w:val="20"/>
          <w:szCs w:val="20"/>
        </w:rPr>
      </w:pPr>
      <w:r w:rsidRPr="00654D0C">
        <w:t>IOF II</w:t>
      </w:r>
      <w:r>
        <w:t xml:space="preserve"> adquirió el edificio en 2016</w:t>
      </w:r>
      <w:r w:rsidR="00427EC5">
        <w:t xml:space="preserve"> y</w:t>
      </w:r>
      <w:r>
        <w:t xml:space="preserve"> ha </w:t>
      </w:r>
      <w:r w:rsidR="00427EC5">
        <w:t>invertido</w:t>
      </w:r>
      <w:r>
        <w:t xml:space="preserve"> </w:t>
      </w:r>
      <w:r w:rsidRPr="00654D0C">
        <w:t xml:space="preserve">8,4 </w:t>
      </w:r>
      <w:r w:rsidR="00CD14AD">
        <w:t>M€</w:t>
      </w:r>
      <w:r>
        <w:t xml:space="preserve"> </w:t>
      </w:r>
      <w:r w:rsidR="00654D0C">
        <w:t>en</w:t>
      </w:r>
      <w:r>
        <w:t xml:space="preserve"> su renovación</w:t>
      </w:r>
      <w:r w:rsidR="006B5792">
        <w:t>, que responde a la creciente demanda de oficinas eficientes</w:t>
      </w:r>
      <w:r w:rsidR="00DB30B6">
        <w:t>, flexibles</w:t>
      </w:r>
      <w:r w:rsidR="006B5792">
        <w:t xml:space="preserve"> y sostenibles</w:t>
      </w:r>
      <w:r w:rsidR="00265A79">
        <w:br/>
      </w:r>
    </w:p>
    <w:p w14:paraId="14D9061B" w14:textId="4C34D34E" w:rsidR="007A2DCE" w:rsidRPr="00431779" w:rsidRDefault="007A2DCE" w:rsidP="007A2DCE">
      <w:pPr>
        <w:jc w:val="both"/>
      </w:pPr>
      <w:r w:rsidRPr="007B5A5B">
        <w:rPr>
          <w:b/>
          <w:bCs/>
        </w:rPr>
        <w:t xml:space="preserve">Barcelona, </w:t>
      </w:r>
      <w:r w:rsidR="00681C5E">
        <w:rPr>
          <w:b/>
          <w:bCs/>
        </w:rPr>
        <w:t>5</w:t>
      </w:r>
      <w:r w:rsidR="00681C5E" w:rsidRPr="007B5A5B">
        <w:rPr>
          <w:b/>
          <w:bCs/>
        </w:rPr>
        <w:t xml:space="preserve"> </w:t>
      </w:r>
      <w:r w:rsidRPr="007B5A5B">
        <w:rPr>
          <w:b/>
          <w:bCs/>
        </w:rPr>
        <w:t>de ma</w:t>
      </w:r>
      <w:r w:rsidR="00681C5E">
        <w:rPr>
          <w:b/>
          <w:bCs/>
        </w:rPr>
        <w:t>yo</w:t>
      </w:r>
      <w:r w:rsidRPr="007B5A5B">
        <w:rPr>
          <w:b/>
          <w:bCs/>
        </w:rPr>
        <w:t xml:space="preserve"> de 2025.- </w:t>
      </w:r>
      <w:r w:rsidRPr="00CD14AD">
        <w:t xml:space="preserve">La firma de inversión </w:t>
      </w:r>
      <w:r>
        <w:t xml:space="preserve">estadounidense </w:t>
      </w:r>
      <w:r w:rsidRPr="00654D0C">
        <w:rPr>
          <w:b/>
          <w:bCs/>
        </w:rPr>
        <w:t>IOF II</w:t>
      </w:r>
      <w:r>
        <w:t xml:space="preserve"> </w:t>
      </w:r>
      <w:r w:rsidR="00654D0C">
        <w:t xml:space="preserve">está ultimando </w:t>
      </w:r>
      <w:r>
        <w:t xml:space="preserve">la </w:t>
      </w:r>
      <w:r w:rsidRPr="00D77C31">
        <w:rPr>
          <w:b/>
          <w:bCs/>
        </w:rPr>
        <w:t>reforma integral del edificio de oficinas Marina 206</w:t>
      </w:r>
      <w:r>
        <w:t xml:space="preserve">, ubicado en el Eixample de </w:t>
      </w:r>
      <w:r w:rsidRPr="00D77C31">
        <w:rPr>
          <w:b/>
          <w:bCs/>
        </w:rPr>
        <w:t>Barcelona</w:t>
      </w:r>
      <w:r>
        <w:t xml:space="preserve">. El inmueble Clase A constituye un nuevo referente en espacios sostenibles para compañías con la innovación y la transformación como pilares estratégicos, ya que </w:t>
      </w:r>
      <w:r w:rsidRPr="000F5C81">
        <w:t>ha sido renovad</w:t>
      </w:r>
      <w:r>
        <w:t>o</w:t>
      </w:r>
      <w:r w:rsidRPr="000F5C81">
        <w:t xml:space="preserve"> bajo los criterios de las certificaciones </w:t>
      </w:r>
      <w:r w:rsidRPr="000F5C81">
        <w:rPr>
          <w:b/>
          <w:bCs/>
        </w:rPr>
        <w:t>LEED Platinum</w:t>
      </w:r>
      <w:r w:rsidRPr="000F5C81">
        <w:t xml:space="preserve"> y </w:t>
      </w:r>
      <w:r w:rsidRPr="000F5C81">
        <w:rPr>
          <w:b/>
          <w:bCs/>
        </w:rPr>
        <w:t>WELL Platinum</w:t>
      </w:r>
      <w:r>
        <w:t>.</w:t>
      </w:r>
      <w:r w:rsidRPr="000F5C81">
        <w:t xml:space="preserve"> </w:t>
      </w:r>
      <w:r>
        <w:t>Así, se trata d</w:t>
      </w:r>
      <w:r w:rsidRPr="000F5C81">
        <w:t xml:space="preserve">el </w:t>
      </w:r>
      <w:r w:rsidRPr="00A139CD">
        <w:rPr>
          <w:b/>
          <w:bCs/>
        </w:rPr>
        <w:t>primer edificio de oficinas del territorio</w:t>
      </w:r>
      <w:r w:rsidRPr="007406DD">
        <w:rPr>
          <w:b/>
          <w:bCs/>
        </w:rPr>
        <w:t xml:space="preserve"> que logra</w:t>
      </w:r>
      <w:r w:rsidR="0043041D">
        <w:rPr>
          <w:b/>
          <w:bCs/>
        </w:rPr>
        <w:t>rá</w:t>
      </w:r>
      <w:r w:rsidRPr="007406DD">
        <w:rPr>
          <w:b/>
          <w:bCs/>
        </w:rPr>
        <w:t xml:space="preserve"> ambos distintivos </w:t>
      </w:r>
      <w:r w:rsidR="00A139CD" w:rsidRPr="0061679B">
        <w:t>y la certificación WiredScore</w:t>
      </w:r>
      <w:r w:rsidR="00A139CD">
        <w:rPr>
          <w:b/>
          <w:bCs/>
        </w:rPr>
        <w:t xml:space="preserve"> </w:t>
      </w:r>
      <w:r w:rsidRPr="00431779">
        <w:t>tras una rehabilitación completa.</w:t>
      </w:r>
    </w:p>
    <w:p w14:paraId="4C5B9A91" w14:textId="71652ED7" w:rsidR="00A43E2C" w:rsidRDefault="007406DD" w:rsidP="00A43E2C">
      <w:pPr>
        <w:jc w:val="both"/>
      </w:pPr>
      <w:r w:rsidRPr="00A43E2C">
        <w:rPr>
          <w:b/>
          <w:bCs/>
        </w:rPr>
        <w:t>Marina 206</w:t>
      </w:r>
      <w:r>
        <w:t xml:space="preserve"> cuenta con </w:t>
      </w:r>
      <w:r w:rsidRPr="00A43E2C">
        <w:rPr>
          <w:b/>
          <w:bCs/>
        </w:rPr>
        <w:t>6.433 m2</w:t>
      </w:r>
      <w:r>
        <w:t xml:space="preserve"> de superficie distribuida en un total de nueve plantas</w:t>
      </w:r>
      <w:r w:rsidR="00A43E2C">
        <w:t>,</w:t>
      </w:r>
      <w:r w:rsidR="00DB06ED">
        <w:t xml:space="preserve"> en las que destacan los </w:t>
      </w:r>
      <w:r w:rsidR="00DB06ED" w:rsidRPr="008537FF">
        <w:t>espacios abiertos, diáfanos y flexibles</w:t>
      </w:r>
      <w:r w:rsidR="00DB30B6">
        <w:t xml:space="preserve">, </w:t>
      </w:r>
      <w:r w:rsidR="00654D0C">
        <w:t>así como varias</w:t>
      </w:r>
      <w:r w:rsidR="00DB30B6">
        <w:t xml:space="preserve"> terrazas privativas y comunitarias</w:t>
      </w:r>
      <w:r w:rsidR="0061679B">
        <w:t xml:space="preserve">, vestuarios </w:t>
      </w:r>
      <w:r w:rsidR="00654D0C">
        <w:t xml:space="preserve">y </w:t>
      </w:r>
      <w:proofErr w:type="gramStart"/>
      <w:r w:rsidR="00DB30B6">
        <w:t>parking</w:t>
      </w:r>
      <w:proofErr w:type="gramEnd"/>
      <w:r w:rsidR="00DB30B6">
        <w:t xml:space="preserve"> de vehículos </w:t>
      </w:r>
      <w:r w:rsidR="00654D0C">
        <w:t xml:space="preserve">–incluidos </w:t>
      </w:r>
      <w:r w:rsidR="00DB30B6">
        <w:t>eléctricos</w:t>
      </w:r>
      <w:r w:rsidR="00654D0C">
        <w:t>–</w:t>
      </w:r>
      <w:r w:rsidR="00DB30B6">
        <w:t xml:space="preserve"> y bicicletas</w:t>
      </w:r>
      <w:r w:rsidR="00A43E2C">
        <w:t xml:space="preserve">. Estas </w:t>
      </w:r>
      <w:r w:rsidR="00A43E2C" w:rsidRPr="00A43E2C">
        <w:t>oficinas de última generación</w:t>
      </w:r>
      <w:r w:rsidR="00241CA1">
        <w:t xml:space="preserve"> y</w:t>
      </w:r>
      <w:r w:rsidR="00A43E2C" w:rsidRPr="00AD2F2C">
        <w:rPr>
          <w:b/>
          <w:bCs/>
        </w:rPr>
        <w:t xml:space="preserve"> </w:t>
      </w:r>
      <w:r w:rsidR="00A43E2C" w:rsidRPr="00241CA1">
        <w:t>diseño sostenible</w:t>
      </w:r>
      <w:r w:rsidR="00241CA1" w:rsidRPr="00241CA1">
        <w:t>,</w:t>
      </w:r>
      <w:r w:rsidR="00241CA1">
        <w:rPr>
          <w:b/>
          <w:bCs/>
        </w:rPr>
        <w:t xml:space="preserve"> </w:t>
      </w:r>
      <w:r w:rsidR="00241CA1" w:rsidRPr="00241CA1">
        <w:t>reformadas en base a una estrategia</w:t>
      </w:r>
      <w:r w:rsidR="00241CA1">
        <w:rPr>
          <w:b/>
          <w:bCs/>
        </w:rPr>
        <w:t xml:space="preserve"> </w:t>
      </w:r>
      <w:r w:rsidR="00A43E2C" w:rsidRPr="00A43E2C">
        <w:t>de</w:t>
      </w:r>
      <w:r w:rsidR="00A43E2C" w:rsidRPr="00AD2F2C">
        <w:rPr>
          <w:b/>
          <w:bCs/>
        </w:rPr>
        <w:t xml:space="preserve"> </w:t>
      </w:r>
      <w:r w:rsidR="00A43E2C" w:rsidRPr="00431779">
        <w:rPr>
          <w:b/>
          <w:bCs/>
        </w:rPr>
        <w:t>reutilización adaptativa</w:t>
      </w:r>
      <w:r w:rsidR="00241CA1">
        <w:t>,</w:t>
      </w:r>
      <w:r w:rsidR="00A43E2C" w:rsidRPr="00AD2F2C">
        <w:t xml:space="preserve"> garantiza</w:t>
      </w:r>
      <w:r w:rsidR="00241CA1">
        <w:t>n</w:t>
      </w:r>
      <w:r w:rsidR="00A43E2C" w:rsidRPr="00AD2F2C">
        <w:t xml:space="preserve"> </w:t>
      </w:r>
      <w:r w:rsidR="007F32E9">
        <w:t xml:space="preserve">los </w:t>
      </w:r>
      <w:r w:rsidR="007F32E9" w:rsidRPr="008537FF">
        <w:rPr>
          <w:b/>
          <w:bCs/>
        </w:rPr>
        <w:t xml:space="preserve">máximos estándares </w:t>
      </w:r>
      <w:r w:rsidR="00EF751B">
        <w:rPr>
          <w:b/>
          <w:bCs/>
        </w:rPr>
        <w:t>en eficiencia energética y</w:t>
      </w:r>
      <w:r w:rsidR="00241CA1" w:rsidRPr="008537FF">
        <w:rPr>
          <w:b/>
          <w:bCs/>
        </w:rPr>
        <w:t xml:space="preserve"> </w:t>
      </w:r>
      <w:r w:rsidR="00A43E2C" w:rsidRPr="008537FF">
        <w:rPr>
          <w:b/>
          <w:bCs/>
        </w:rPr>
        <w:t>bienestar</w:t>
      </w:r>
      <w:r w:rsidR="00A43E2C" w:rsidRPr="004C48E6">
        <w:t>.</w:t>
      </w:r>
    </w:p>
    <w:p w14:paraId="1853960C" w14:textId="5F0427A7" w:rsidR="0031500E" w:rsidRDefault="008537FF" w:rsidP="00A43E2C">
      <w:pPr>
        <w:jc w:val="both"/>
      </w:pPr>
      <w:r>
        <w:t>La comercialización</w:t>
      </w:r>
      <w:r w:rsidR="0061679B">
        <w:t xml:space="preserve"> en exclusiva</w:t>
      </w:r>
      <w:r>
        <w:t xml:space="preserve"> del </w:t>
      </w:r>
      <w:r w:rsidR="00431779">
        <w:t>edificio</w:t>
      </w:r>
      <w:r>
        <w:t xml:space="preserve">, </w:t>
      </w:r>
      <w:r w:rsidR="00A777C2">
        <w:t>a cargo</w:t>
      </w:r>
      <w:r>
        <w:t xml:space="preserve"> </w:t>
      </w:r>
      <w:r w:rsidR="00A777C2">
        <w:t>de</w:t>
      </w:r>
      <w:r>
        <w:t xml:space="preserve"> la consultora </w:t>
      </w:r>
      <w:r w:rsidRPr="00C84956">
        <w:rPr>
          <w:b/>
          <w:bCs/>
        </w:rPr>
        <w:t xml:space="preserve">BNP </w:t>
      </w:r>
      <w:proofErr w:type="spellStart"/>
      <w:r w:rsidRPr="00C84956">
        <w:rPr>
          <w:b/>
          <w:bCs/>
        </w:rPr>
        <w:t>Paribas</w:t>
      </w:r>
      <w:proofErr w:type="spellEnd"/>
      <w:r w:rsidRPr="00C84956">
        <w:rPr>
          <w:b/>
          <w:bCs/>
        </w:rPr>
        <w:t xml:space="preserve"> Real Estate</w:t>
      </w:r>
      <w:r>
        <w:t>, se realiza en régimen de alquiler</w:t>
      </w:r>
      <w:r w:rsidR="0031500E">
        <w:t xml:space="preserve"> y </w:t>
      </w:r>
      <w:r>
        <w:t xml:space="preserve">ofrece </w:t>
      </w:r>
      <w:r w:rsidR="007752B7">
        <w:t>diversas</w:t>
      </w:r>
      <w:r>
        <w:t xml:space="preserve"> </w:t>
      </w:r>
      <w:r w:rsidR="007752B7">
        <w:t>opciones</w:t>
      </w:r>
      <w:r>
        <w:t xml:space="preserve"> </w:t>
      </w:r>
      <w:r w:rsidR="00A777C2">
        <w:t>de</w:t>
      </w:r>
      <w:r w:rsidR="00393D62">
        <w:t xml:space="preserve"> adaptación</w:t>
      </w:r>
      <w:r w:rsidR="00393D62" w:rsidRPr="00393D62">
        <w:t xml:space="preserve"> </w:t>
      </w:r>
      <w:r w:rsidR="00A777C2">
        <w:t xml:space="preserve">en </w:t>
      </w:r>
      <w:r w:rsidR="00E87405">
        <w:t>función de</w:t>
      </w:r>
      <w:r w:rsidR="00A777C2">
        <w:t xml:space="preserve"> las</w:t>
      </w:r>
      <w:r w:rsidR="00393D62" w:rsidRPr="00393D62">
        <w:t xml:space="preserve"> necesidades específicas de cada proyecto</w:t>
      </w:r>
      <w:r w:rsidR="0031500E">
        <w:t xml:space="preserve">. El inmueble fue adquirido por </w:t>
      </w:r>
      <w:r w:rsidR="0031500E" w:rsidRPr="00654D0C">
        <w:t>IOF II</w:t>
      </w:r>
      <w:r w:rsidR="0031500E" w:rsidRPr="00C84956">
        <w:rPr>
          <w:b/>
          <w:bCs/>
        </w:rPr>
        <w:t xml:space="preserve"> </w:t>
      </w:r>
      <w:r w:rsidR="0031500E">
        <w:t xml:space="preserve">en 2016 y ha contado con una </w:t>
      </w:r>
      <w:r w:rsidR="0031500E" w:rsidRPr="00C84956">
        <w:rPr>
          <w:b/>
          <w:bCs/>
        </w:rPr>
        <w:t xml:space="preserve">inversión de </w:t>
      </w:r>
      <w:r w:rsidR="0031500E" w:rsidRPr="00654D0C">
        <w:rPr>
          <w:b/>
          <w:bCs/>
        </w:rPr>
        <w:t>8,4</w:t>
      </w:r>
      <w:r w:rsidR="0031500E" w:rsidRPr="00C84956">
        <w:rPr>
          <w:b/>
          <w:bCs/>
        </w:rPr>
        <w:t xml:space="preserve"> millones de euros para su reforma</w:t>
      </w:r>
      <w:r w:rsidR="00C84956">
        <w:t xml:space="preserve">, que </w:t>
      </w:r>
      <w:r w:rsidR="001F0DA0">
        <w:t>redefine</w:t>
      </w:r>
      <w:r w:rsidR="006B4926">
        <w:t xml:space="preserve"> tanto el interior como el exterior</w:t>
      </w:r>
      <w:r w:rsidR="00067053">
        <w:t>.</w:t>
      </w:r>
    </w:p>
    <w:p w14:paraId="2E54116D" w14:textId="7813566A" w:rsidR="00067053" w:rsidRPr="000332E7" w:rsidRDefault="0061279B" w:rsidP="00A43E2C">
      <w:pPr>
        <w:jc w:val="both"/>
      </w:pPr>
      <w:r w:rsidRPr="00D732D9">
        <w:rPr>
          <w:i/>
          <w:iCs/>
        </w:rPr>
        <w:t xml:space="preserve">“Marina 206 no es solo un espacio de trabajo, sino una declaración de principios para las empresas que </w:t>
      </w:r>
      <w:r w:rsidR="00C84956">
        <w:rPr>
          <w:i/>
          <w:iCs/>
        </w:rPr>
        <w:t>quieren</w:t>
      </w:r>
      <w:r w:rsidRPr="00D732D9">
        <w:rPr>
          <w:i/>
          <w:iCs/>
        </w:rPr>
        <w:t xml:space="preserve"> proyectar innovación y sostenibilidad desde el corazón de una metrópoli global como Barcelona. Su ubicación estratégica, a pocos pasos del distrito</w:t>
      </w:r>
      <w:r w:rsidR="0084284D">
        <w:rPr>
          <w:i/>
          <w:iCs/>
        </w:rPr>
        <w:t xml:space="preserve"> tecnológico</w:t>
      </w:r>
      <w:r w:rsidRPr="00D732D9">
        <w:rPr>
          <w:i/>
          <w:iCs/>
        </w:rPr>
        <w:t xml:space="preserve"> 22@, lo convierte en un</w:t>
      </w:r>
      <w:r w:rsidR="00D732D9">
        <w:rPr>
          <w:i/>
          <w:iCs/>
        </w:rPr>
        <w:t xml:space="preserve"> enclave ideal</w:t>
      </w:r>
      <w:r w:rsidRPr="00D732D9">
        <w:rPr>
          <w:i/>
          <w:iCs/>
        </w:rPr>
        <w:t xml:space="preserve"> para compañías que apuestan por entornos modernos, eficientes y alineados con los estándares más</w:t>
      </w:r>
      <w:r w:rsidR="00C84956">
        <w:rPr>
          <w:i/>
          <w:iCs/>
        </w:rPr>
        <w:t xml:space="preserve"> exigentes</w:t>
      </w:r>
      <w:r w:rsidRPr="00D732D9">
        <w:rPr>
          <w:i/>
          <w:iCs/>
        </w:rPr>
        <w:t>”</w:t>
      </w:r>
      <w:r w:rsidR="00D732D9">
        <w:rPr>
          <w:i/>
          <w:iCs/>
        </w:rPr>
        <w:t xml:space="preserve">, </w:t>
      </w:r>
      <w:r w:rsidR="00D732D9">
        <w:t xml:space="preserve">destaca </w:t>
      </w:r>
      <w:r w:rsidR="000332E7" w:rsidRPr="000332E7">
        <w:rPr>
          <w:b/>
          <w:bCs/>
        </w:rPr>
        <w:t>Andrea Naumann</w:t>
      </w:r>
      <w:r w:rsidR="000332E7" w:rsidRPr="000332E7">
        <w:t xml:space="preserve">, </w:t>
      </w:r>
      <w:proofErr w:type="spellStart"/>
      <w:r w:rsidR="00237D90">
        <w:rPr>
          <w:b/>
          <w:bCs/>
        </w:rPr>
        <w:t>Europe</w:t>
      </w:r>
      <w:proofErr w:type="spellEnd"/>
      <w:r w:rsidR="00237D90">
        <w:rPr>
          <w:b/>
          <w:bCs/>
        </w:rPr>
        <w:t xml:space="preserve"> Director</w:t>
      </w:r>
      <w:r w:rsidR="004E663A" w:rsidRPr="004E663A">
        <w:rPr>
          <w:b/>
          <w:bCs/>
        </w:rPr>
        <w:t xml:space="preserve"> </w:t>
      </w:r>
      <w:r w:rsidR="000332E7" w:rsidRPr="004E663A">
        <w:rPr>
          <w:b/>
          <w:bCs/>
        </w:rPr>
        <w:t xml:space="preserve">de </w:t>
      </w:r>
      <w:r w:rsidR="000332E7" w:rsidRPr="00237D90">
        <w:rPr>
          <w:b/>
          <w:bCs/>
        </w:rPr>
        <w:t>IOF II</w:t>
      </w:r>
      <w:r w:rsidR="004E663A" w:rsidRPr="004E663A">
        <w:rPr>
          <w:b/>
          <w:bCs/>
        </w:rPr>
        <w:t xml:space="preserve"> en Europa</w:t>
      </w:r>
      <w:r w:rsidR="00D732D9" w:rsidRPr="004E663A">
        <w:t>.</w:t>
      </w:r>
    </w:p>
    <w:p w14:paraId="66C739FB" w14:textId="5B94BFAF" w:rsidR="004B36C5" w:rsidRPr="004B36C5" w:rsidRDefault="00C84956" w:rsidP="004B36C5">
      <w:pPr>
        <w:jc w:val="both"/>
      </w:pPr>
      <w:r>
        <w:t xml:space="preserve">En esta línea, </w:t>
      </w:r>
      <w:r w:rsidR="004B36C5" w:rsidRPr="0061679B">
        <w:rPr>
          <w:b/>
          <w:bCs/>
        </w:rPr>
        <w:t xml:space="preserve">Anna Güell, Directora de Agencia Oficinas Barcelona </w:t>
      </w:r>
      <w:r w:rsidRPr="0061679B">
        <w:rPr>
          <w:b/>
          <w:bCs/>
        </w:rPr>
        <w:t>de</w:t>
      </w:r>
      <w:r>
        <w:t xml:space="preserve"> </w:t>
      </w:r>
      <w:r w:rsidRPr="00C84956">
        <w:rPr>
          <w:b/>
          <w:bCs/>
        </w:rPr>
        <w:t xml:space="preserve">BNP </w:t>
      </w:r>
      <w:proofErr w:type="spellStart"/>
      <w:r w:rsidRPr="00C84956">
        <w:rPr>
          <w:b/>
          <w:bCs/>
        </w:rPr>
        <w:t>Paribas</w:t>
      </w:r>
      <w:proofErr w:type="spellEnd"/>
      <w:r>
        <w:t xml:space="preserve"> </w:t>
      </w:r>
      <w:r w:rsidRPr="00C84956">
        <w:rPr>
          <w:b/>
          <w:bCs/>
        </w:rPr>
        <w:t>Real Estate</w:t>
      </w:r>
      <w:r>
        <w:t xml:space="preserve"> subraya </w:t>
      </w:r>
      <w:r w:rsidR="0061679B">
        <w:t xml:space="preserve">que </w:t>
      </w:r>
      <w:r w:rsidR="004B36C5" w:rsidRPr="0061679B">
        <w:rPr>
          <w:i/>
          <w:iCs/>
        </w:rPr>
        <w:t>“</w:t>
      </w:r>
      <w:r w:rsidR="0061679B" w:rsidRPr="0061679B">
        <w:rPr>
          <w:i/>
          <w:iCs/>
        </w:rPr>
        <w:t>l</w:t>
      </w:r>
      <w:r w:rsidR="004B36C5" w:rsidRPr="0061679B">
        <w:rPr>
          <w:i/>
          <w:iCs/>
        </w:rPr>
        <w:t xml:space="preserve">a expectación que va a generar el proyecto seguro que conlleva que empresas de prestigio y de sectores muy diversos muestren su interés por instalarse en el </w:t>
      </w:r>
      <w:r w:rsidR="004B36C5" w:rsidRPr="0061679B">
        <w:rPr>
          <w:i/>
          <w:iCs/>
        </w:rPr>
        <w:lastRenderedPageBreak/>
        <w:t xml:space="preserve">que será uno de los edificios de oficinas más emblemáticos de Barcelona. Estamos convencidos de que este nuevo edificio por su singularidad y sus características atraerá a muchas compañías que quieran </w:t>
      </w:r>
      <w:r w:rsidR="0061679B" w:rsidRPr="0061679B">
        <w:rPr>
          <w:i/>
          <w:iCs/>
        </w:rPr>
        <w:t>instalarse</w:t>
      </w:r>
      <w:r w:rsidR="004B36C5" w:rsidRPr="0061679B">
        <w:rPr>
          <w:i/>
          <w:iCs/>
        </w:rPr>
        <w:t xml:space="preserve"> en Barcelona”.</w:t>
      </w:r>
    </w:p>
    <w:p w14:paraId="48917105" w14:textId="77777777" w:rsidR="004B36C5" w:rsidRPr="00237D90" w:rsidRDefault="004B36C5" w:rsidP="0099680A">
      <w:pPr>
        <w:jc w:val="both"/>
      </w:pPr>
    </w:p>
    <w:p w14:paraId="7E922FFC" w14:textId="3D0774A5" w:rsidR="000F5C81" w:rsidRPr="003159F8" w:rsidRDefault="00265A79" w:rsidP="0099680A">
      <w:pPr>
        <w:jc w:val="both"/>
      </w:pPr>
      <w:r>
        <w:rPr>
          <w:b/>
          <w:bCs/>
        </w:rPr>
        <w:t>S</w:t>
      </w:r>
      <w:r w:rsidR="00A52241">
        <w:rPr>
          <w:b/>
          <w:bCs/>
        </w:rPr>
        <w:t>ostenibilidad y bienestar como pilares</w:t>
      </w:r>
    </w:p>
    <w:p w14:paraId="59BFA1CD" w14:textId="616DB421" w:rsidR="004147F2" w:rsidRDefault="004147F2" w:rsidP="00265A79">
      <w:pPr>
        <w:jc w:val="both"/>
      </w:pPr>
      <w:r w:rsidRPr="004147F2">
        <w:t>Marina 206 c</w:t>
      </w:r>
      <w:r w:rsidR="00562AD8">
        <w:t>ontar</w:t>
      </w:r>
      <w:r w:rsidR="00237D90">
        <w:t>á</w:t>
      </w:r>
      <w:r w:rsidRPr="004147F2">
        <w:t xml:space="preserve"> con </w:t>
      </w:r>
      <w:r>
        <w:t>las certificaciones</w:t>
      </w:r>
      <w:r w:rsidRPr="004147F2">
        <w:t xml:space="preserve"> </w:t>
      </w:r>
      <w:r w:rsidRPr="004147F2">
        <w:rPr>
          <w:b/>
          <w:bCs/>
        </w:rPr>
        <w:t>LEED Platinum</w:t>
      </w:r>
      <w:r w:rsidRPr="004147F2">
        <w:t>, un reconocimiento global en edificación sostenible que evalúa el consumo energético, el uso del agua, los materiales y la calidad del aire</w:t>
      </w:r>
      <w:r>
        <w:t xml:space="preserve">, y </w:t>
      </w:r>
      <w:r w:rsidRPr="004147F2">
        <w:rPr>
          <w:b/>
          <w:bCs/>
        </w:rPr>
        <w:t>WELL Platinum</w:t>
      </w:r>
      <w:r w:rsidRPr="004147F2">
        <w:t xml:space="preserve">, que garantiza los más altos estándares </w:t>
      </w:r>
      <w:r>
        <w:t>para el</w:t>
      </w:r>
      <w:r w:rsidRPr="004147F2">
        <w:t xml:space="preserve"> bienestar de los empleados y la optimización de los entornos de trabajo.</w:t>
      </w:r>
      <w:r w:rsidR="00BD1D84">
        <w:t xml:space="preserve"> También contará con la certificación WiredScore</w:t>
      </w:r>
      <w:r w:rsidR="00A139CD">
        <w:t>, que reconoce el nivel de conectividad digital del espacio</w:t>
      </w:r>
      <w:r w:rsidR="00BD1D84">
        <w:t>.</w:t>
      </w:r>
    </w:p>
    <w:p w14:paraId="2F687C52" w14:textId="77777777" w:rsidR="00237D90" w:rsidRDefault="00A52241" w:rsidP="00265A79">
      <w:pPr>
        <w:jc w:val="both"/>
      </w:pPr>
      <w:r>
        <w:t xml:space="preserve">El diseño </w:t>
      </w:r>
      <w:r w:rsidR="004147F2">
        <w:t>del inmueble</w:t>
      </w:r>
      <w:r w:rsidR="003B5066" w:rsidRPr="003B5066">
        <w:t xml:space="preserve"> </w:t>
      </w:r>
      <w:r w:rsidRPr="00A52241">
        <w:t xml:space="preserve">prioriza la entrada de </w:t>
      </w:r>
      <w:r w:rsidRPr="00A52241">
        <w:rPr>
          <w:b/>
          <w:bCs/>
        </w:rPr>
        <w:t>luz natural en más del 80% de las zonas de trabajo</w:t>
      </w:r>
      <w:r w:rsidRPr="00A52241">
        <w:t xml:space="preserve">, </w:t>
      </w:r>
      <w:r>
        <w:t>a través de</w:t>
      </w:r>
      <w:r w:rsidRPr="00A52241">
        <w:t xml:space="preserve"> amplios ventanales.</w:t>
      </w:r>
      <w:r>
        <w:t xml:space="preserve"> </w:t>
      </w:r>
      <w:r w:rsidRPr="00A52241">
        <w:t xml:space="preserve">El </w:t>
      </w:r>
      <w:r>
        <w:t>edificio</w:t>
      </w:r>
      <w:r w:rsidRPr="00A52241">
        <w:t xml:space="preserve"> dispone de recepción con control de acceso, salas de reuniones</w:t>
      </w:r>
      <w:r w:rsidR="006F024C">
        <w:t xml:space="preserve"> y polivalentes</w:t>
      </w:r>
      <w:r w:rsidRPr="00A52241">
        <w:t>, cafetería completamente equipada</w:t>
      </w:r>
      <w:r w:rsidR="006F024C">
        <w:t xml:space="preserve">, </w:t>
      </w:r>
      <w:r w:rsidR="006F024C" w:rsidRPr="006F024C">
        <w:rPr>
          <w:i/>
          <w:iCs/>
        </w:rPr>
        <w:t>lounge</w:t>
      </w:r>
      <w:r w:rsidR="006F024C">
        <w:t xml:space="preserve"> y </w:t>
      </w:r>
      <w:r w:rsidRPr="00A52241">
        <w:t>terraza comunitaria</w:t>
      </w:r>
      <w:r w:rsidR="006F024C">
        <w:t>,</w:t>
      </w:r>
      <w:r w:rsidRPr="00A52241">
        <w:t xml:space="preserve"> que actúa como punto de encuentro. </w:t>
      </w:r>
    </w:p>
    <w:p w14:paraId="74B75771" w14:textId="5C7B2D8F" w:rsidR="00A52241" w:rsidRDefault="00430C9E" w:rsidP="00265A79">
      <w:pPr>
        <w:jc w:val="both"/>
      </w:pPr>
      <w:r>
        <w:t>También</w:t>
      </w:r>
      <w:r w:rsidR="00A52241" w:rsidRPr="00A52241">
        <w:t xml:space="preserve"> cuenta con dos terrazas priva</w:t>
      </w:r>
      <w:r>
        <w:t>tivas</w:t>
      </w:r>
      <w:r w:rsidR="00A52241" w:rsidRPr="00A52241">
        <w:t xml:space="preserve"> con vistas a un jardín público que refuerzan su concepto de bienestar y conexión con el entorno.</w:t>
      </w:r>
      <w:r w:rsidR="00215B7A">
        <w:t xml:space="preserve"> </w:t>
      </w:r>
      <w:r>
        <w:t xml:space="preserve">El inmueble tiene </w:t>
      </w:r>
      <w:r w:rsidR="00215B7A">
        <w:t xml:space="preserve">además </w:t>
      </w:r>
      <w:r w:rsidR="00215B7A" w:rsidRPr="00215B7A">
        <w:rPr>
          <w:b/>
          <w:bCs/>
        </w:rPr>
        <w:t>56 plazas de aparcamiento</w:t>
      </w:r>
      <w:r w:rsidR="00215B7A">
        <w:t xml:space="preserve"> subterráneas para vehículos motorizados</w:t>
      </w:r>
      <w:r w:rsidR="002E2B3A">
        <w:t>,</w:t>
      </w:r>
      <w:r w:rsidR="00237D90">
        <w:t xml:space="preserve"> así como</w:t>
      </w:r>
      <w:r w:rsidR="002E2B3A">
        <w:t xml:space="preserve"> cargadores para coches eléctricos y espacio para patinetes y bicicletas.</w:t>
      </w:r>
    </w:p>
    <w:p w14:paraId="4A7DDE2D" w14:textId="1D39BDF0" w:rsidR="00681C5E" w:rsidRDefault="00681C5E" w:rsidP="00265A79">
      <w:pPr>
        <w:jc w:val="both"/>
      </w:pPr>
      <w:r>
        <w:t>A nivel energético, el edificio</w:t>
      </w:r>
      <w:r w:rsidRPr="00681C5E">
        <w:t xml:space="preserve"> cuenta con un SAI (Sistema de Alimentación Ininterrumpida) para pequeños cortes eléctricos y con un grupo electrógeno, generador, que se activa en caso de que el corte eléctrico perdure, lo que permite tener</w:t>
      </w:r>
      <w:r w:rsidRPr="000E491C">
        <w:rPr>
          <w:b/>
          <w:bCs/>
        </w:rPr>
        <w:t xml:space="preserve"> suministro en todo el edificio en caso de corte eléctrico</w:t>
      </w:r>
      <w:r w:rsidRPr="00681C5E">
        <w:t xml:space="preserve"> o apagón. La capacidad del generador </w:t>
      </w:r>
      <w:r>
        <w:t xml:space="preserve">permite </w:t>
      </w:r>
      <w:r w:rsidRPr="000E491C">
        <w:rPr>
          <w:b/>
          <w:bCs/>
        </w:rPr>
        <w:t xml:space="preserve">funcionar a pleno rendimiento durante </w:t>
      </w:r>
      <w:r w:rsidR="00DE62D2">
        <w:rPr>
          <w:b/>
          <w:bCs/>
        </w:rPr>
        <w:t xml:space="preserve">aproximadamente </w:t>
      </w:r>
      <w:r w:rsidRPr="000E491C">
        <w:rPr>
          <w:b/>
          <w:bCs/>
        </w:rPr>
        <w:t>cinco días</w:t>
      </w:r>
      <w:r w:rsidRPr="00681C5E">
        <w:t>.</w:t>
      </w:r>
    </w:p>
    <w:p w14:paraId="486CCAC5" w14:textId="740F3A1E" w:rsidR="00265A79" w:rsidRPr="00215B7A" w:rsidRDefault="003B5066" w:rsidP="00215B7A">
      <w:pPr>
        <w:jc w:val="both"/>
      </w:pPr>
      <w:r w:rsidRPr="003B5066">
        <w:t>Ubicad</w:t>
      </w:r>
      <w:r w:rsidR="0084284D">
        <w:t>o</w:t>
      </w:r>
      <w:r w:rsidRPr="003B5066">
        <w:t xml:space="preserve"> entre la </w:t>
      </w:r>
      <w:r w:rsidRPr="003B5066">
        <w:rPr>
          <w:b/>
          <w:bCs/>
        </w:rPr>
        <w:t xml:space="preserve">Avenida Diagonal </w:t>
      </w:r>
      <w:r w:rsidRPr="0084284D">
        <w:t xml:space="preserve">y </w:t>
      </w:r>
      <w:r w:rsidRPr="003B5066">
        <w:rPr>
          <w:b/>
          <w:bCs/>
        </w:rPr>
        <w:t>Gran Vía de les Corts Catalanes</w:t>
      </w:r>
      <w:r w:rsidRPr="003B5066">
        <w:t xml:space="preserve">, Marina 206 se encuentra en un entorno estratégico, </w:t>
      </w:r>
      <w:r w:rsidR="002E2B3A">
        <w:t>en</w:t>
      </w:r>
      <w:r w:rsidR="00237D90">
        <w:t xml:space="preserve"> el</w:t>
      </w:r>
      <w:r w:rsidR="002E2B3A">
        <w:t xml:space="preserve"> centro </w:t>
      </w:r>
      <w:r w:rsidR="00237D90">
        <w:t xml:space="preserve">de la </w:t>
      </w:r>
      <w:r w:rsidR="002E2B3A">
        <w:t xml:space="preserve">ciudad y muy </w:t>
      </w:r>
      <w:r w:rsidRPr="003B5066">
        <w:t>bien comunicado con el</w:t>
      </w:r>
      <w:r w:rsidR="0084284D">
        <w:t xml:space="preserve"> distrito</w:t>
      </w:r>
      <w:r w:rsidRPr="003B5066">
        <w:t xml:space="preserve"> </w:t>
      </w:r>
      <w:r w:rsidRPr="003B5066">
        <w:rPr>
          <w:b/>
          <w:bCs/>
        </w:rPr>
        <w:t>22@</w:t>
      </w:r>
      <w:r w:rsidRPr="003B5066">
        <w:t xml:space="preserve"> y otros polos empresariales de la ciudad. La rehabilitación del edificio se enmarca en un contexto en el que las empresas priorizan cada vez más la eficiencia operativa y el bienestar de sus empleados a la hora de elegir espacios de trabajo.</w:t>
      </w:r>
    </w:p>
    <w:p w14:paraId="59DFB2B6" w14:textId="77777777" w:rsidR="0099680A" w:rsidRDefault="0099680A" w:rsidP="003B5066">
      <w:pPr>
        <w:rPr>
          <w:b/>
          <w:bCs/>
        </w:rPr>
      </w:pPr>
    </w:p>
    <w:p w14:paraId="326E2A4C" w14:textId="524CF6C9" w:rsidR="005C2248" w:rsidRPr="00237D90" w:rsidRDefault="00780886" w:rsidP="003B5066">
      <w:pPr>
        <w:rPr>
          <w:b/>
          <w:bCs/>
          <w:sz w:val="20"/>
          <w:szCs w:val="20"/>
        </w:rPr>
      </w:pPr>
      <w:r>
        <w:rPr>
          <w:b/>
          <w:bCs/>
          <w:sz w:val="20"/>
          <w:szCs w:val="20"/>
        </w:rPr>
        <w:t xml:space="preserve">Sobre </w:t>
      </w:r>
      <w:r w:rsidR="005C2248" w:rsidRPr="00237D90">
        <w:rPr>
          <w:b/>
          <w:bCs/>
          <w:sz w:val="20"/>
          <w:szCs w:val="20"/>
        </w:rPr>
        <w:t>IOF II</w:t>
      </w:r>
    </w:p>
    <w:p w14:paraId="0E313E8A" w14:textId="1B1626D0" w:rsidR="005C2248" w:rsidRDefault="005C2248" w:rsidP="005C2248">
      <w:pPr>
        <w:jc w:val="both"/>
        <w:rPr>
          <w:sz w:val="20"/>
          <w:szCs w:val="20"/>
        </w:rPr>
      </w:pPr>
      <w:r w:rsidRPr="00237D90">
        <w:rPr>
          <w:b/>
          <w:bCs/>
          <w:sz w:val="20"/>
          <w:szCs w:val="20"/>
        </w:rPr>
        <w:t>IOF II</w:t>
      </w:r>
      <w:r w:rsidRPr="00237D90">
        <w:rPr>
          <w:sz w:val="20"/>
          <w:szCs w:val="20"/>
        </w:rPr>
        <w:t xml:space="preserve"> (</w:t>
      </w:r>
      <w:proofErr w:type="spellStart"/>
      <w:r w:rsidRPr="00237D90">
        <w:rPr>
          <w:sz w:val="20"/>
          <w:szCs w:val="20"/>
        </w:rPr>
        <w:t>Income</w:t>
      </w:r>
      <w:proofErr w:type="spellEnd"/>
      <w:r w:rsidRPr="00237D90">
        <w:rPr>
          <w:sz w:val="20"/>
          <w:szCs w:val="20"/>
        </w:rPr>
        <w:t xml:space="preserve"> </w:t>
      </w:r>
      <w:proofErr w:type="spellStart"/>
      <w:r w:rsidRPr="00237D90">
        <w:rPr>
          <w:sz w:val="20"/>
          <w:szCs w:val="20"/>
        </w:rPr>
        <w:t>Opportunity</w:t>
      </w:r>
      <w:proofErr w:type="spellEnd"/>
      <w:r w:rsidRPr="00237D90">
        <w:rPr>
          <w:sz w:val="20"/>
          <w:szCs w:val="20"/>
        </w:rPr>
        <w:t xml:space="preserve"> </w:t>
      </w:r>
      <w:proofErr w:type="spellStart"/>
      <w:r w:rsidRPr="00237D90">
        <w:rPr>
          <w:sz w:val="20"/>
          <w:szCs w:val="20"/>
        </w:rPr>
        <w:t>Fund</w:t>
      </w:r>
      <w:proofErr w:type="spellEnd"/>
      <w:r w:rsidRPr="00237D90">
        <w:rPr>
          <w:sz w:val="20"/>
          <w:szCs w:val="20"/>
        </w:rPr>
        <w:t xml:space="preserve"> II)</w:t>
      </w:r>
      <w:r w:rsidRPr="005C2248">
        <w:rPr>
          <w:sz w:val="20"/>
          <w:szCs w:val="20"/>
        </w:rPr>
        <w:t xml:space="preserve"> es una firma de inversión inmobiliaria estadounidense dedicada a maximizar el valor de los activos mediante su transformación, especialmente en el segmento residencial y de oficinas. Fundada en </w:t>
      </w:r>
      <w:r w:rsidR="002E2B3A">
        <w:rPr>
          <w:sz w:val="20"/>
          <w:szCs w:val="20"/>
        </w:rPr>
        <w:t>2015</w:t>
      </w:r>
      <w:r w:rsidR="002E2B3A" w:rsidRPr="005C2248">
        <w:rPr>
          <w:sz w:val="20"/>
          <w:szCs w:val="20"/>
        </w:rPr>
        <w:t xml:space="preserve"> </w:t>
      </w:r>
      <w:r w:rsidRPr="005C2248">
        <w:rPr>
          <w:sz w:val="20"/>
          <w:szCs w:val="20"/>
        </w:rPr>
        <w:t>y con sede en Chicago (Illinois), la compañía está formada por un grupo de ejecutivos con dilatada experiencia en el sector inmobiliario, de inversión y de mercados de capitales, que ha gestionado más de 3.000 millones de dólares en activos</w:t>
      </w:r>
      <w:r>
        <w:rPr>
          <w:sz w:val="20"/>
          <w:szCs w:val="20"/>
        </w:rPr>
        <w:t>.</w:t>
      </w:r>
    </w:p>
    <w:p w14:paraId="1F7C1C43" w14:textId="0375C15F" w:rsidR="0061679B" w:rsidRDefault="005C2248" w:rsidP="0061679B">
      <w:pPr>
        <w:jc w:val="both"/>
        <w:rPr>
          <w:sz w:val="20"/>
          <w:szCs w:val="20"/>
        </w:rPr>
      </w:pPr>
      <w:r w:rsidRPr="005C2248">
        <w:rPr>
          <w:sz w:val="20"/>
          <w:szCs w:val="20"/>
        </w:rPr>
        <w:t xml:space="preserve">La entrada de </w:t>
      </w:r>
      <w:r w:rsidR="002E2B3A">
        <w:rPr>
          <w:sz w:val="20"/>
          <w:szCs w:val="20"/>
        </w:rPr>
        <w:t>IOF</w:t>
      </w:r>
      <w:r w:rsidR="00237D90">
        <w:rPr>
          <w:sz w:val="20"/>
          <w:szCs w:val="20"/>
        </w:rPr>
        <w:t xml:space="preserve"> </w:t>
      </w:r>
      <w:r w:rsidR="002E2B3A">
        <w:rPr>
          <w:sz w:val="20"/>
          <w:szCs w:val="20"/>
        </w:rPr>
        <w:t xml:space="preserve">II </w:t>
      </w:r>
      <w:r w:rsidRPr="005C2248">
        <w:rPr>
          <w:sz w:val="20"/>
          <w:szCs w:val="20"/>
        </w:rPr>
        <w:t>en el mercado español responde a una estrategia de expansión basada en la identificación de oportunidades en activos con alto potencial de transformación. En este contexto, la firma quiere aportar su experiencia en la creación de valor mediante la renovación y optimización de activos infrautilizados, contribuyendo a la mejora del entorno urbano a través de proyectos sostenibles, de impacto positivo y adaptados a las nuevas necesidades del mercado, mientras sigue generando retornos estables para sus inversores.</w:t>
      </w:r>
    </w:p>
    <w:p w14:paraId="0D52EAF9" w14:textId="77777777" w:rsidR="00681C5E" w:rsidRPr="0061679B" w:rsidRDefault="00681C5E" w:rsidP="0061679B">
      <w:pPr>
        <w:jc w:val="both"/>
        <w:rPr>
          <w:sz w:val="20"/>
          <w:szCs w:val="20"/>
        </w:rPr>
      </w:pPr>
    </w:p>
    <w:p w14:paraId="29B56809" w14:textId="77777777" w:rsidR="004B36C5" w:rsidRPr="00BD03E0" w:rsidRDefault="004B36C5" w:rsidP="004B36C5">
      <w:pPr>
        <w:rPr>
          <w:sz w:val="20"/>
          <w:szCs w:val="20"/>
        </w:rPr>
      </w:pPr>
      <w:r w:rsidRPr="00BD03E0">
        <w:rPr>
          <w:b/>
          <w:bCs/>
          <w:sz w:val="20"/>
          <w:szCs w:val="20"/>
        </w:rPr>
        <w:lastRenderedPageBreak/>
        <w:t xml:space="preserve">Sobre BNP </w:t>
      </w:r>
      <w:proofErr w:type="spellStart"/>
      <w:r w:rsidRPr="00BD03E0">
        <w:rPr>
          <w:b/>
          <w:bCs/>
          <w:sz w:val="20"/>
          <w:szCs w:val="20"/>
        </w:rPr>
        <w:t>Paribas</w:t>
      </w:r>
      <w:proofErr w:type="spellEnd"/>
      <w:r w:rsidRPr="00BD03E0">
        <w:rPr>
          <w:b/>
          <w:bCs/>
          <w:sz w:val="20"/>
          <w:szCs w:val="20"/>
        </w:rPr>
        <w:t xml:space="preserve"> Real Estate</w:t>
      </w:r>
    </w:p>
    <w:p w14:paraId="2F64ECA6" w14:textId="77777777" w:rsidR="004B36C5" w:rsidRPr="00BD03E0" w:rsidRDefault="004B36C5" w:rsidP="0061679B">
      <w:pPr>
        <w:jc w:val="both"/>
        <w:rPr>
          <w:sz w:val="20"/>
          <w:szCs w:val="20"/>
        </w:rPr>
      </w:pPr>
      <w:r w:rsidRPr="00BD03E0">
        <w:rPr>
          <w:sz w:val="20"/>
          <w:szCs w:val="20"/>
        </w:rPr>
        <w:t xml:space="preserve">BNP </w:t>
      </w:r>
      <w:proofErr w:type="spellStart"/>
      <w:r w:rsidRPr="00BD03E0">
        <w:rPr>
          <w:sz w:val="20"/>
          <w:szCs w:val="20"/>
        </w:rPr>
        <w:t>Paribas</w:t>
      </w:r>
      <w:proofErr w:type="spellEnd"/>
      <w:r w:rsidRPr="00BD03E0">
        <w:rPr>
          <w:sz w:val="20"/>
          <w:szCs w:val="20"/>
        </w:rPr>
        <w:t xml:space="preserve"> Real Estate, una de las principales consultoras de servicios inmobiliarios a nivel internacional, ofrece a sus clientes una amplia línea de servicios que abarcan todas las etapas del ciclo inmobiliario: Promoción, Transacción, Consultoría, Valoración, Gestión de la Propiedad y Gestión de la Inversión. Con 4.000 empleados, BNP </w:t>
      </w:r>
      <w:proofErr w:type="spellStart"/>
      <w:r w:rsidRPr="00BD03E0">
        <w:rPr>
          <w:sz w:val="20"/>
          <w:szCs w:val="20"/>
        </w:rPr>
        <w:t>Paribas</w:t>
      </w:r>
      <w:proofErr w:type="spellEnd"/>
      <w:r w:rsidRPr="00BD03E0">
        <w:rPr>
          <w:sz w:val="20"/>
          <w:szCs w:val="20"/>
        </w:rPr>
        <w:t xml:space="preserve"> Real Estate, como consultora de servicios integrales, apoya a propietarios, arrendatarios, inversores y comunidades gracias a su experiencia local en 23 países (a través de sus oficinas propias y su red de alianzas) en Europa, Oriente Medio y Asia. BNP </w:t>
      </w:r>
      <w:proofErr w:type="spellStart"/>
      <w:r w:rsidRPr="00BD03E0">
        <w:rPr>
          <w:sz w:val="20"/>
          <w:szCs w:val="20"/>
        </w:rPr>
        <w:t>Paribas</w:t>
      </w:r>
      <w:proofErr w:type="spellEnd"/>
      <w:r w:rsidRPr="00BD03E0">
        <w:rPr>
          <w:sz w:val="20"/>
          <w:szCs w:val="20"/>
        </w:rPr>
        <w:t xml:space="preserve"> Real Estate forma parte del BNP </w:t>
      </w:r>
      <w:proofErr w:type="spellStart"/>
      <w:r w:rsidRPr="00BD03E0">
        <w:rPr>
          <w:sz w:val="20"/>
          <w:szCs w:val="20"/>
        </w:rPr>
        <w:t>Paribas</w:t>
      </w:r>
      <w:proofErr w:type="spellEnd"/>
      <w:r w:rsidRPr="00BD03E0">
        <w:rPr>
          <w:sz w:val="20"/>
          <w:szCs w:val="20"/>
        </w:rPr>
        <w:t xml:space="preserve"> </w:t>
      </w:r>
      <w:proofErr w:type="spellStart"/>
      <w:r w:rsidRPr="00BD03E0">
        <w:rPr>
          <w:sz w:val="20"/>
          <w:szCs w:val="20"/>
        </w:rPr>
        <w:t>Group</w:t>
      </w:r>
      <w:proofErr w:type="spellEnd"/>
      <w:r w:rsidRPr="00BD03E0">
        <w:rPr>
          <w:sz w:val="20"/>
          <w:szCs w:val="20"/>
        </w:rPr>
        <w:t>, líder mundial en servicios financieros.</w:t>
      </w:r>
    </w:p>
    <w:p w14:paraId="4DD76BCE" w14:textId="77777777" w:rsidR="004B36C5" w:rsidRPr="00BD03E0" w:rsidRDefault="004B36C5" w:rsidP="0061679B">
      <w:pPr>
        <w:jc w:val="both"/>
        <w:rPr>
          <w:sz w:val="20"/>
          <w:szCs w:val="20"/>
        </w:rPr>
      </w:pPr>
      <w:r w:rsidRPr="00BD03E0">
        <w:rPr>
          <w:sz w:val="20"/>
          <w:szCs w:val="20"/>
        </w:rPr>
        <w:t xml:space="preserve">Como agente comprometido con la sostenibilidad de las ciudades, BNP </w:t>
      </w:r>
      <w:proofErr w:type="spellStart"/>
      <w:r w:rsidRPr="00BD03E0">
        <w:rPr>
          <w:sz w:val="20"/>
          <w:szCs w:val="20"/>
        </w:rPr>
        <w:t>Paribas</w:t>
      </w:r>
      <w:proofErr w:type="spellEnd"/>
      <w:r w:rsidRPr="00BD03E0">
        <w:rPr>
          <w:sz w:val="20"/>
          <w:szCs w:val="20"/>
        </w:rPr>
        <w:t xml:space="preserve"> Real Estate pretende encabezar la transición hacia un sector inmobiliario más sostenible: bajo en emisiones de carbono, resiliente, inclusivo y propicio al bienestar. Para lograrlo, la compañía ha desarrollado una política de responsabilidad social corporativa (RSC) con cuatro objetivos: fomentar ética y responsablemente el rendimiento económico y el uso de edificios; integrar una transición baja en carbono y reducir su huella medioambiental; garantizar el desarrollo, compromiso y bienestar de sus empleados; ser un actor proactivo en el sector inmobiliario y construir iniciativas locales, y alianzas.</w:t>
      </w:r>
    </w:p>
    <w:p w14:paraId="7942D159" w14:textId="77777777" w:rsidR="0061679B" w:rsidRDefault="0061679B" w:rsidP="004B36C5">
      <w:pPr>
        <w:textDirection w:val="btLr"/>
        <w:rPr>
          <w:rFonts w:ascii="Arial" w:hAnsi="Arial"/>
          <w:b/>
        </w:rPr>
      </w:pPr>
    </w:p>
    <w:p w14:paraId="19F47F82" w14:textId="5FCAE040" w:rsidR="0061679B" w:rsidRPr="00780886" w:rsidRDefault="0061679B" w:rsidP="0061679B">
      <w:pPr>
        <w:rPr>
          <w:b/>
          <w:bCs/>
          <w:lang w:val="pt-PT"/>
        </w:rPr>
      </w:pPr>
      <w:r w:rsidRPr="00780886">
        <w:rPr>
          <w:b/>
          <w:bCs/>
          <w:lang w:val="pt-PT"/>
        </w:rPr>
        <w:t>Contacto de prensa</w:t>
      </w:r>
      <w:r w:rsidR="00780886" w:rsidRPr="00780886">
        <w:rPr>
          <w:b/>
          <w:bCs/>
          <w:lang w:val="pt-PT"/>
        </w:rPr>
        <w:t xml:space="preserve"> IOF I</w:t>
      </w:r>
      <w:r w:rsidR="00780886">
        <w:rPr>
          <w:b/>
          <w:bCs/>
          <w:lang w:val="pt-PT"/>
        </w:rPr>
        <w:t>I</w:t>
      </w:r>
    </w:p>
    <w:p w14:paraId="53CC608A" w14:textId="616EDF41" w:rsidR="0061679B" w:rsidRPr="00681C5E" w:rsidRDefault="0061679B" w:rsidP="0061679B">
      <w:pPr>
        <w:rPr>
          <w:i/>
          <w:iCs/>
          <w:lang w:val="pt-PT"/>
        </w:rPr>
      </w:pPr>
      <w:r w:rsidRPr="00681C5E">
        <w:rPr>
          <w:i/>
          <w:iCs/>
          <w:lang w:val="pt-PT"/>
        </w:rPr>
        <w:t>Tinkle Consultants</w:t>
      </w:r>
    </w:p>
    <w:p w14:paraId="62A05E74" w14:textId="77777777" w:rsidR="0061679B" w:rsidRDefault="0061679B" w:rsidP="0061679B">
      <w:r>
        <w:rPr>
          <w:b/>
          <w:bCs/>
        </w:rPr>
        <w:t>Yasmín Afonzo                                            Nekane Larrinaga</w:t>
      </w:r>
      <w:r>
        <w:rPr>
          <w:b/>
          <w:bCs/>
        </w:rPr>
        <w:br/>
      </w:r>
      <w:hyperlink r:id="rId7" w:history="1">
        <w:r w:rsidRPr="003E60DD">
          <w:rPr>
            <w:rStyle w:val="Hipervnculo"/>
          </w:rPr>
          <w:t>yasmin.afonzo@tinkle.es</w:t>
        </w:r>
      </w:hyperlink>
      <w:r>
        <w:t xml:space="preserve">                       </w:t>
      </w:r>
      <w:hyperlink r:id="rId8" w:history="1">
        <w:r w:rsidRPr="003E60DD">
          <w:rPr>
            <w:rStyle w:val="Hipervnculo"/>
          </w:rPr>
          <w:t>nekane.larrinaga@tinkle.es</w:t>
        </w:r>
      </w:hyperlink>
      <w:r>
        <w:t xml:space="preserve"> </w:t>
      </w:r>
      <w:r>
        <w:br/>
        <w:t xml:space="preserve">+34 </w:t>
      </w:r>
      <w:r w:rsidRPr="00265A79">
        <w:t>662</w:t>
      </w:r>
      <w:r>
        <w:t xml:space="preserve"> </w:t>
      </w:r>
      <w:r w:rsidRPr="00265A79">
        <w:t>310</w:t>
      </w:r>
      <w:r>
        <w:t xml:space="preserve"> </w:t>
      </w:r>
      <w:r w:rsidRPr="00265A79">
        <w:t>953</w:t>
      </w:r>
      <w:r>
        <w:t xml:space="preserve">                                          +34 </w:t>
      </w:r>
      <w:r w:rsidRPr="00265A79">
        <w:t>687</w:t>
      </w:r>
      <w:r>
        <w:t xml:space="preserve"> </w:t>
      </w:r>
      <w:r w:rsidRPr="00265A79">
        <w:t>280</w:t>
      </w:r>
      <w:r>
        <w:t xml:space="preserve"> </w:t>
      </w:r>
      <w:r w:rsidRPr="00265A79">
        <w:t>849</w:t>
      </w:r>
    </w:p>
    <w:p w14:paraId="516B3C48" w14:textId="77777777" w:rsidR="0061679B" w:rsidRDefault="0061679B" w:rsidP="004B36C5">
      <w:pPr>
        <w:textDirection w:val="btLr"/>
        <w:rPr>
          <w:rFonts w:ascii="Arial" w:hAnsi="Arial"/>
          <w:b/>
        </w:rPr>
      </w:pPr>
    </w:p>
    <w:p w14:paraId="417C25F2" w14:textId="66389324" w:rsidR="00780886" w:rsidRPr="00780886" w:rsidRDefault="00780886" w:rsidP="00780886">
      <w:pPr>
        <w:rPr>
          <w:b/>
          <w:bCs/>
          <w:lang w:val="pt-PT"/>
        </w:rPr>
      </w:pPr>
      <w:r w:rsidRPr="00780886">
        <w:rPr>
          <w:b/>
          <w:bCs/>
          <w:lang w:val="pt-PT"/>
        </w:rPr>
        <w:t xml:space="preserve">Contacto de prensa </w:t>
      </w:r>
      <w:r>
        <w:rPr>
          <w:b/>
          <w:bCs/>
          <w:lang w:val="pt-PT"/>
        </w:rPr>
        <w:t>BNP Paribas Real Estate</w:t>
      </w:r>
    </w:p>
    <w:p w14:paraId="72DF8C03" w14:textId="77777777" w:rsidR="004B36C5" w:rsidRPr="00780886" w:rsidRDefault="004B36C5" w:rsidP="004B36C5">
      <w:pPr>
        <w:textDirection w:val="btLr"/>
        <w:rPr>
          <w:i/>
          <w:iCs/>
        </w:rPr>
      </w:pPr>
      <w:proofErr w:type="spellStart"/>
      <w:r w:rsidRPr="00780886">
        <w:rPr>
          <w:i/>
          <w:iCs/>
        </w:rPr>
        <w:t>Recomunica</w:t>
      </w:r>
      <w:proofErr w:type="spellEnd"/>
    </w:p>
    <w:p w14:paraId="53A32FE9" w14:textId="7175F39B" w:rsidR="004B36C5" w:rsidRPr="00780886" w:rsidRDefault="004B36C5" w:rsidP="004B36C5">
      <w:pPr>
        <w:textDirection w:val="btLr"/>
        <w:rPr>
          <w:b/>
          <w:bCs/>
        </w:rPr>
      </w:pPr>
      <w:r w:rsidRPr="00780886">
        <w:rPr>
          <w:b/>
          <w:bCs/>
        </w:rPr>
        <w:t xml:space="preserve">Esther </w:t>
      </w:r>
      <w:proofErr w:type="spellStart"/>
      <w:r w:rsidRPr="00780886">
        <w:rPr>
          <w:b/>
          <w:bCs/>
        </w:rPr>
        <w:t>Armendia</w:t>
      </w:r>
      <w:proofErr w:type="spellEnd"/>
      <w:r w:rsidR="00780886">
        <w:rPr>
          <w:b/>
          <w:bCs/>
        </w:rPr>
        <w:br/>
      </w:r>
      <w:hyperlink r:id="rId9" w:history="1">
        <w:r w:rsidR="00780886" w:rsidRPr="00C7192B">
          <w:rPr>
            <w:rStyle w:val="Hipervnculo"/>
          </w:rPr>
          <w:t>earmendia@recomunica.com</w:t>
        </w:r>
      </w:hyperlink>
      <w:r w:rsidR="00780886">
        <w:rPr>
          <w:b/>
          <w:bCs/>
        </w:rPr>
        <w:br/>
      </w:r>
      <w:r w:rsidRPr="00780886">
        <w:t>+34 699 21 21 52</w:t>
      </w:r>
    </w:p>
    <w:p w14:paraId="769E5C55" w14:textId="77777777" w:rsidR="004B36C5" w:rsidRDefault="004B36C5"/>
    <w:sectPr w:rsidR="004B36C5">
      <w:headerReference w:type="default" r:id="rId10"/>
      <w:footerReference w:type="even" r:id="rId11"/>
      <w:footerReference w:type="default" r:id="rId12"/>
      <w:footerReference w:type="first" r:id="rId1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C91BE3" w14:textId="77777777" w:rsidR="00AB2660" w:rsidRDefault="00AB2660" w:rsidP="00C4153E">
      <w:pPr>
        <w:spacing w:after="0" w:line="240" w:lineRule="auto"/>
      </w:pPr>
      <w:r>
        <w:separator/>
      </w:r>
    </w:p>
  </w:endnote>
  <w:endnote w:type="continuationSeparator" w:id="0">
    <w:p w14:paraId="0FCC75DB" w14:textId="77777777" w:rsidR="00AB2660" w:rsidRDefault="00AB2660" w:rsidP="00C415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9C47D" w14:textId="60B80172" w:rsidR="001F3543" w:rsidRDefault="001F3543">
    <w:pPr>
      <w:pStyle w:val="Piedepgina"/>
    </w:pPr>
    <w:r>
      <w:rPr>
        <w:noProof/>
      </w:rPr>
      <mc:AlternateContent>
        <mc:Choice Requires="wps">
          <w:drawing>
            <wp:anchor distT="0" distB="0" distL="0" distR="0" simplePos="0" relativeHeight="251660288" behindDoc="0" locked="0" layoutInCell="1" allowOverlap="1" wp14:anchorId="0E1C5DCA" wp14:editId="4E7DB6BF">
              <wp:simplePos x="635" y="635"/>
              <wp:positionH relativeFrom="page">
                <wp:align>right</wp:align>
              </wp:positionH>
              <wp:positionV relativeFrom="page">
                <wp:align>bottom</wp:align>
              </wp:positionV>
              <wp:extent cx="1418590" cy="357505"/>
              <wp:effectExtent l="0" t="0" r="0" b="0"/>
              <wp:wrapNone/>
              <wp:docPr id="598365809" name="Cuadro de texto 2" descr="Classification :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18590" cy="357505"/>
                      </a:xfrm>
                      <a:prstGeom prst="rect">
                        <a:avLst/>
                      </a:prstGeom>
                      <a:noFill/>
                      <a:ln>
                        <a:noFill/>
                      </a:ln>
                    </wps:spPr>
                    <wps:txbx>
                      <w:txbxContent>
                        <w:p w14:paraId="21A1D065" w14:textId="57C472FB" w:rsidR="001F3543" w:rsidRPr="001F3543" w:rsidRDefault="001F3543" w:rsidP="001F3543">
                          <w:pPr>
                            <w:spacing w:after="0"/>
                            <w:rPr>
                              <w:rFonts w:ascii="Calibri" w:eastAsia="Calibri" w:hAnsi="Calibri" w:cs="Calibri"/>
                              <w:noProof/>
                              <w:color w:val="0078D7"/>
                              <w:sz w:val="20"/>
                              <w:szCs w:val="20"/>
                            </w:rPr>
                          </w:pPr>
                          <w:r w:rsidRPr="001F3543">
                            <w:rPr>
                              <w:rFonts w:ascii="Calibri" w:eastAsia="Calibri" w:hAnsi="Calibri" w:cs="Calibri"/>
                              <w:noProof/>
                              <w:color w:val="0078D7"/>
                              <w:sz w:val="20"/>
                              <w:szCs w:val="20"/>
                            </w:rPr>
                            <w:t>Classification : Internal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E1C5DCA" id="_x0000_t202" coordsize="21600,21600" o:spt="202" path="m,l,21600r21600,l21600,xe">
              <v:stroke joinstyle="miter"/>
              <v:path gradientshapeok="t" o:connecttype="rect"/>
            </v:shapetype>
            <v:shape id="Cuadro de texto 2" o:spid="_x0000_s1026" type="#_x0000_t202" alt="Classification : Internal" style="position:absolute;margin-left:60.5pt;margin-top:0;width:111.7pt;height:28.15pt;z-index:25166028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" filled="f" stroked="f">
              <v:textbox style="mso-fit-shape-to-text:t" inset="0,0,20pt,15pt">
                <w:txbxContent>
                  <w:p w14:paraId="21A1D065" w14:textId="57C472FB" w:rsidR="001F3543" w:rsidRPr="001F3543" w:rsidRDefault="001F3543" w:rsidP="001F3543">
                    <w:pPr>
                      <w:spacing w:after="0"/>
                      <w:rPr>
                        <w:rFonts w:ascii="Calibri" w:eastAsia="Calibri" w:hAnsi="Calibri" w:cs="Calibri"/>
                        <w:noProof/>
                        <w:color w:val="0078D7"/>
                        <w:sz w:val="20"/>
                        <w:szCs w:val="20"/>
                      </w:rPr>
                    </w:pPr>
                    <w:r w:rsidRPr="001F3543">
                      <w:rPr>
                        <w:rFonts w:ascii="Calibri" w:eastAsia="Calibri" w:hAnsi="Calibri" w:cs="Calibri"/>
                        <w:noProof/>
                        <w:color w:val="0078D7"/>
                        <w:sz w:val="20"/>
                        <w:szCs w:val="20"/>
                      </w:rPr>
                      <w:t>Classification : 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EB676" w14:textId="5D64A443" w:rsidR="001F3543" w:rsidRDefault="001F3543">
    <w:pPr>
      <w:pStyle w:val="Piedepgina"/>
    </w:pPr>
    <w:r>
      <w:rPr>
        <w:noProof/>
      </w:rPr>
      <mc:AlternateContent>
        <mc:Choice Requires="wps">
          <w:drawing>
            <wp:anchor distT="0" distB="0" distL="0" distR="0" simplePos="0" relativeHeight="251661312" behindDoc="0" locked="0" layoutInCell="1" allowOverlap="1" wp14:anchorId="78FE97DF" wp14:editId="249B371A">
              <wp:simplePos x="1083733" y="10075333"/>
              <wp:positionH relativeFrom="page">
                <wp:align>right</wp:align>
              </wp:positionH>
              <wp:positionV relativeFrom="page">
                <wp:align>bottom</wp:align>
              </wp:positionV>
              <wp:extent cx="1418590" cy="357505"/>
              <wp:effectExtent l="0" t="0" r="0" b="0"/>
              <wp:wrapNone/>
              <wp:docPr id="631827971" name="Cuadro de texto 3" descr="Classification :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18590" cy="357505"/>
                      </a:xfrm>
                      <a:prstGeom prst="rect">
                        <a:avLst/>
                      </a:prstGeom>
                      <a:noFill/>
                      <a:ln>
                        <a:noFill/>
                      </a:ln>
                    </wps:spPr>
                    <wps:txbx>
                      <w:txbxContent>
                        <w:p w14:paraId="2A0EEA24" w14:textId="1939353B" w:rsidR="001F3543" w:rsidRPr="001F3543" w:rsidRDefault="001F3543" w:rsidP="001F3543">
                          <w:pPr>
                            <w:spacing w:after="0"/>
                            <w:rPr>
                              <w:rFonts w:ascii="Calibri" w:eastAsia="Calibri" w:hAnsi="Calibri" w:cs="Calibri"/>
                              <w:noProof/>
                              <w:color w:val="0078D7"/>
                              <w:sz w:val="20"/>
                              <w:szCs w:val="20"/>
                            </w:rPr>
                          </w:pPr>
                          <w:r w:rsidRPr="001F3543">
                            <w:rPr>
                              <w:rFonts w:ascii="Calibri" w:eastAsia="Calibri" w:hAnsi="Calibri" w:cs="Calibri"/>
                              <w:noProof/>
                              <w:color w:val="0078D7"/>
                              <w:sz w:val="20"/>
                              <w:szCs w:val="20"/>
                            </w:rPr>
                            <w:t>Classification : Internal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8FE97DF" id="_x0000_t202" coordsize="21600,21600" o:spt="202" path="m,l,21600r21600,l21600,xe">
              <v:stroke joinstyle="miter"/>
              <v:path gradientshapeok="t" o:connecttype="rect"/>
            </v:shapetype>
            <v:shape id="Cuadro de texto 3" o:spid="_x0000_s1027" type="#_x0000_t202" alt="Classification : Internal" style="position:absolute;margin-left:60.5pt;margin-top:0;width:111.7pt;height:28.15pt;z-index:25166131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" filled="f" stroked="f">
              <v:textbox style="mso-fit-shape-to-text:t" inset="0,0,20pt,15pt">
                <w:txbxContent>
                  <w:p w14:paraId="2A0EEA24" w14:textId="1939353B" w:rsidR="001F3543" w:rsidRPr="001F3543" w:rsidRDefault="001F3543" w:rsidP="001F3543">
                    <w:pPr>
                      <w:spacing w:after="0"/>
                      <w:rPr>
                        <w:rFonts w:ascii="Calibri" w:eastAsia="Calibri" w:hAnsi="Calibri" w:cs="Calibri"/>
                        <w:noProof/>
                        <w:color w:val="0078D7"/>
                        <w:sz w:val="20"/>
                        <w:szCs w:val="20"/>
                      </w:rPr>
                    </w:pPr>
                    <w:r w:rsidRPr="001F3543">
                      <w:rPr>
                        <w:rFonts w:ascii="Calibri" w:eastAsia="Calibri" w:hAnsi="Calibri" w:cs="Calibri"/>
                        <w:noProof/>
                        <w:color w:val="0078D7"/>
                        <w:sz w:val="20"/>
                        <w:szCs w:val="20"/>
                      </w:rPr>
                      <w:t>Classification : Internal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A3351" w14:textId="44DCD598" w:rsidR="001F3543" w:rsidRDefault="001F3543">
    <w:pPr>
      <w:pStyle w:val="Piedepgina"/>
    </w:pPr>
    <w:r>
      <w:rPr>
        <w:noProof/>
      </w:rPr>
      <mc:AlternateContent>
        <mc:Choice Requires="wps">
          <w:drawing>
            <wp:anchor distT="0" distB="0" distL="0" distR="0" simplePos="0" relativeHeight="251659264" behindDoc="0" locked="0" layoutInCell="1" allowOverlap="1" wp14:anchorId="66FB056D" wp14:editId="3912A5AC">
              <wp:simplePos x="635" y="635"/>
              <wp:positionH relativeFrom="page">
                <wp:align>right</wp:align>
              </wp:positionH>
              <wp:positionV relativeFrom="page">
                <wp:align>bottom</wp:align>
              </wp:positionV>
              <wp:extent cx="1418590" cy="357505"/>
              <wp:effectExtent l="0" t="0" r="0" b="0"/>
              <wp:wrapNone/>
              <wp:docPr id="26794615" name="Cuadro de texto 1" descr="Classification :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18590" cy="357505"/>
                      </a:xfrm>
                      <a:prstGeom prst="rect">
                        <a:avLst/>
                      </a:prstGeom>
                      <a:noFill/>
                      <a:ln>
                        <a:noFill/>
                      </a:ln>
                    </wps:spPr>
                    <wps:txbx>
                      <w:txbxContent>
                        <w:p w14:paraId="6D771704" w14:textId="0CBAE18D" w:rsidR="001F3543" w:rsidRPr="001F3543" w:rsidRDefault="001F3543" w:rsidP="001F3543">
                          <w:pPr>
                            <w:spacing w:after="0"/>
                            <w:rPr>
                              <w:rFonts w:ascii="Calibri" w:eastAsia="Calibri" w:hAnsi="Calibri" w:cs="Calibri"/>
                              <w:noProof/>
                              <w:color w:val="0078D7"/>
                              <w:sz w:val="20"/>
                              <w:szCs w:val="20"/>
                            </w:rPr>
                          </w:pPr>
                          <w:r w:rsidRPr="001F3543">
                            <w:rPr>
                              <w:rFonts w:ascii="Calibri" w:eastAsia="Calibri" w:hAnsi="Calibri" w:cs="Calibri"/>
                              <w:noProof/>
                              <w:color w:val="0078D7"/>
                              <w:sz w:val="20"/>
                              <w:szCs w:val="20"/>
                            </w:rPr>
                            <w:t>Classification : Internal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66FB056D" id="_x0000_t202" coordsize="21600,21600" o:spt="202" path="m,l,21600r21600,l21600,xe">
              <v:stroke joinstyle="miter"/>
              <v:path gradientshapeok="t" o:connecttype="rect"/>
            </v:shapetype>
            <v:shape id="Cuadro de texto 1" o:spid="_x0000_s1028" type="#_x0000_t202" alt="Classification : Internal" style="position:absolute;margin-left:60.5pt;margin-top:0;width:111.7pt;height:28.15pt;z-index:25165926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" filled="f" stroked="f">
              <v:textbox style="mso-fit-shape-to-text:t" inset="0,0,20pt,15pt">
                <w:txbxContent>
                  <w:p w14:paraId="6D771704" w14:textId="0CBAE18D" w:rsidR="001F3543" w:rsidRPr="001F3543" w:rsidRDefault="001F3543" w:rsidP="001F3543">
                    <w:pPr>
                      <w:spacing w:after="0"/>
                      <w:rPr>
                        <w:rFonts w:ascii="Calibri" w:eastAsia="Calibri" w:hAnsi="Calibri" w:cs="Calibri"/>
                        <w:noProof/>
                        <w:color w:val="0078D7"/>
                        <w:sz w:val="20"/>
                        <w:szCs w:val="20"/>
                      </w:rPr>
                    </w:pPr>
                    <w:r w:rsidRPr="001F3543">
                      <w:rPr>
                        <w:rFonts w:ascii="Calibri" w:eastAsia="Calibri" w:hAnsi="Calibri" w:cs="Calibri"/>
                        <w:noProof/>
                        <w:color w:val="0078D7"/>
                        <w:sz w:val="20"/>
                        <w:szCs w:val="20"/>
                      </w:rPr>
                      <w:t>Classification : 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4EB65E" w14:textId="77777777" w:rsidR="00AB2660" w:rsidRDefault="00AB2660" w:rsidP="00C4153E">
      <w:pPr>
        <w:spacing w:after="0" w:line="240" w:lineRule="auto"/>
      </w:pPr>
      <w:r>
        <w:separator/>
      </w:r>
    </w:p>
  </w:footnote>
  <w:footnote w:type="continuationSeparator" w:id="0">
    <w:p w14:paraId="211295DC" w14:textId="77777777" w:rsidR="00AB2660" w:rsidRDefault="00AB2660" w:rsidP="00C415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EF583" w14:textId="4A3C5148" w:rsidR="00C4153E" w:rsidRDefault="00E55C0F">
    <w:pPr>
      <w:pStyle w:val="Encabezado"/>
    </w:pPr>
    <w:r w:rsidRPr="00E55C0F">
      <w:rPr>
        <w:noProof/>
      </w:rPr>
      <w:drawing>
        <wp:anchor distT="0" distB="0" distL="114300" distR="114300" simplePos="0" relativeHeight="251658240" behindDoc="1" locked="0" layoutInCell="1" allowOverlap="1" wp14:anchorId="0707230F" wp14:editId="590C3AF9">
          <wp:simplePos x="0" y="0"/>
          <wp:positionH relativeFrom="margin">
            <wp:posOffset>1701165</wp:posOffset>
          </wp:positionH>
          <wp:positionV relativeFrom="paragraph">
            <wp:posOffset>-136453</wp:posOffset>
          </wp:positionV>
          <wp:extent cx="1985058" cy="565125"/>
          <wp:effectExtent l="0" t="0" r="0" b="6985"/>
          <wp:wrapTight wrapText="bothSides">
            <wp:wrapPolygon edited="0">
              <wp:start x="0" y="0"/>
              <wp:lineTo x="0" y="21138"/>
              <wp:lineTo x="21351" y="21138"/>
              <wp:lineTo x="21351" y="0"/>
              <wp:lineTo x="0" y="0"/>
            </wp:wrapPolygon>
          </wp:wrapTight>
          <wp:docPr id="165063308" name="Imagen 1" descr="Un reloj de aguj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063308" name="Imagen 1" descr="Un reloj de aguja&#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1985058" cy="56512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356041"/>
    <w:multiLevelType w:val="hybridMultilevel"/>
    <w:tmpl w:val="DB6EAE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61000CBD"/>
    <w:multiLevelType w:val="hybridMultilevel"/>
    <w:tmpl w:val="3E64EB8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403068942">
    <w:abstractNumId w:val="0"/>
  </w:num>
  <w:num w:numId="2" w16cid:durableId="18006861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066"/>
    <w:rsid w:val="0000495E"/>
    <w:rsid w:val="000332E7"/>
    <w:rsid w:val="00046BD5"/>
    <w:rsid w:val="00067053"/>
    <w:rsid w:val="00094918"/>
    <w:rsid w:val="000A1637"/>
    <w:rsid w:val="000A46B9"/>
    <w:rsid w:val="000E491C"/>
    <w:rsid w:val="000F0A85"/>
    <w:rsid w:val="000F5C81"/>
    <w:rsid w:val="001F0DA0"/>
    <w:rsid w:val="001F3543"/>
    <w:rsid w:val="00215B7A"/>
    <w:rsid w:val="00237D90"/>
    <w:rsid w:val="00241CA1"/>
    <w:rsid w:val="0025517A"/>
    <w:rsid w:val="00265A79"/>
    <w:rsid w:val="002C125F"/>
    <w:rsid w:val="002E2B3A"/>
    <w:rsid w:val="0031500E"/>
    <w:rsid w:val="003159F8"/>
    <w:rsid w:val="00393D62"/>
    <w:rsid w:val="003B5066"/>
    <w:rsid w:val="003C52A6"/>
    <w:rsid w:val="003D3510"/>
    <w:rsid w:val="003E713A"/>
    <w:rsid w:val="004147F2"/>
    <w:rsid w:val="00427EC5"/>
    <w:rsid w:val="0043041D"/>
    <w:rsid w:val="00430C9E"/>
    <w:rsid w:val="00431779"/>
    <w:rsid w:val="00433EB8"/>
    <w:rsid w:val="00452A18"/>
    <w:rsid w:val="00492524"/>
    <w:rsid w:val="004B36C5"/>
    <w:rsid w:val="004E663A"/>
    <w:rsid w:val="005229CF"/>
    <w:rsid w:val="00562AD8"/>
    <w:rsid w:val="005A51E1"/>
    <w:rsid w:val="005C2248"/>
    <w:rsid w:val="005E0318"/>
    <w:rsid w:val="005E6B4F"/>
    <w:rsid w:val="0061279B"/>
    <w:rsid w:val="0061679B"/>
    <w:rsid w:val="0062791E"/>
    <w:rsid w:val="0064624F"/>
    <w:rsid w:val="00654C01"/>
    <w:rsid w:val="00654D0C"/>
    <w:rsid w:val="00681C5E"/>
    <w:rsid w:val="006B4926"/>
    <w:rsid w:val="006B5792"/>
    <w:rsid w:val="006F024C"/>
    <w:rsid w:val="007406DD"/>
    <w:rsid w:val="007752B7"/>
    <w:rsid w:val="00780886"/>
    <w:rsid w:val="007814CC"/>
    <w:rsid w:val="007A2DCE"/>
    <w:rsid w:val="007B5A5B"/>
    <w:rsid w:val="007D0B58"/>
    <w:rsid w:val="007E7648"/>
    <w:rsid w:val="007F32E9"/>
    <w:rsid w:val="0082480C"/>
    <w:rsid w:val="00826350"/>
    <w:rsid w:val="0084284D"/>
    <w:rsid w:val="008537FF"/>
    <w:rsid w:val="00867876"/>
    <w:rsid w:val="00911D2D"/>
    <w:rsid w:val="0099680A"/>
    <w:rsid w:val="009A39D9"/>
    <w:rsid w:val="00A03DF0"/>
    <w:rsid w:val="00A04467"/>
    <w:rsid w:val="00A0470D"/>
    <w:rsid w:val="00A1064E"/>
    <w:rsid w:val="00A139CD"/>
    <w:rsid w:val="00A420A0"/>
    <w:rsid w:val="00A43E2C"/>
    <w:rsid w:val="00A52241"/>
    <w:rsid w:val="00A777C2"/>
    <w:rsid w:val="00AA0B85"/>
    <w:rsid w:val="00AB2660"/>
    <w:rsid w:val="00B557ED"/>
    <w:rsid w:val="00BB5673"/>
    <w:rsid w:val="00BD1D84"/>
    <w:rsid w:val="00BF31EA"/>
    <w:rsid w:val="00C201E7"/>
    <w:rsid w:val="00C4153E"/>
    <w:rsid w:val="00C55541"/>
    <w:rsid w:val="00C84956"/>
    <w:rsid w:val="00C85B41"/>
    <w:rsid w:val="00CB3BE6"/>
    <w:rsid w:val="00CC11E9"/>
    <w:rsid w:val="00CD14AD"/>
    <w:rsid w:val="00CE3616"/>
    <w:rsid w:val="00CF1C2C"/>
    <w:rsid w:val="00D244E0"/>
    <w:rsid w:val="00D57D37"/>
    <w:rsid w:val="00D627FF"/>
    <w:rsid w:val="00D732D9"/>
    <w:rsid w:val="00D77C31"/>
    <w:rsid w:val="00DA39CD"/>
    <w:rsid w:val="00DB06ED"/>
    <w:rsid w:val="00DB30B6"/>
    <w:rsid w:val="00DE62D2"/>
    <w:rsid w:val="00E10B8A"/>
    <w:rsid w:val="00E3338C"/>
    <w:rsid w:val="00E55C0F"/>
    <w:rsid w:val="00E84671"/>
    <w:rsid w:val="00E87405"/>
    <w:rsid w:val="00EA2502"/>
    <w:rsid w:val="00EE0752"/>
    <w:rsid w:val="00EF751B"/>
    <w:rsid w:val="00F7406B"/>
    <w:rsid w:val="00F910A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33690B"/>
  <w15:chartTrackingRefBased/>
  <w15:docId w15:val="{E937A733-43BA-47C7-96B7-E3533DD93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3B50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B50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B506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B506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B506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B506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B506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B506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B506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B506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B506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B506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B506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B506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B506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B506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B506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B5066"/>
    <w:rPr>
      <w:rFonts w:eastAsiaTheme="majorEastAsia" w:cstheme="majorBidi"/>
      <w:color w:val="272727" w:themeColor="text1" w:themeTint="D8"/>
    </w:rPr>
  </w:style>
  <w:style w:type="paragraph" w:styleId="Ttulo">
    <w:name w:val="Title"/>
    <w:basedOn w:val="Normal"/>
    <w:next w:val="Normal"/>
    <w:link w:val="TtuloCar"/>
    <w:uiPriority w:val="10"/>
    <w:qFormat/>
    <w:rsid w:val="003B50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B506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B506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B506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B5066"/>
    <w:pPr>
      <w:spacing w:before="160"/>
      <w:jc w:val="center"/>
    </w:pPr>
    <w:rPr>
      <w:i/>
      <w:iCs/>
      <w:color w:val="404040" w:themeColor="text1" w:themeTint="BF"/>
    </w:rPr>
  </w:style>
  <w:style w:type="character" w:customStyle="1" w:styleId="CitaCar">
    <w:name w:val="Cita Car"/>
    <w:basedOn w:val="Fuentedeprrafopredeter"/>
    <w:link w:val="Cita"/>
    <w:uiPriority w:val="29"/>
    <w:rsid w:val="003B5066"/>
    <w:rPr>
      <w:i/>
      <w:iCs/>
      <w:color w:val="404040" w:themeColor="text1" w:themeTint="BF"/>
    </w:rPr>
  </w:style>
  <w:style w:type="paragraph" w:styleId="Prrafodelista">
    <w:name w:val="List Paragraph"/>
    <w:basedOn w:val="Normal"/>
    <w:uiPriority w:val="34"/>
    <w:qFormat/>
    <w:rsid w:val="003B5066"/>
    <w:pPr>
      <w:ind w:left="720"/>
      <w:contextualSpacing/>
    </w:pPr>
  </w:style>
  <w:style w:type="character" w:styleId="nfasisintenso">
    <w:name w:val="Intense Emphasis"/>
    <w:basedOn w:val="Fuentedeprrafopredeter"/>
    <w:uiPriority w:val="21"/>
    <w:qFormat/>
    <w:rsid w:val="003B5066"/>
    <w:rPr>
      <w:i/>
      <w:iCs/>
      <w:color w:val="0F4761" w:themeColor="accent1" w:themeShade="BF"/>
    </w:rPr>
  </w:style>
  <w:style w:type="paragraph" w:styleId="Citadestacada">
    <w:name w:val="Intense Quote"/>
    <w:basedOn w:val="Normal"/>
    <w:next w:val="Normal"/>
    <w:link w:val="CitadestacadaCar"/>
    <w:uiPriority w:val="30"/>
    <w:qFormat/>
    <w:rsid w:val="003B50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B5066"/>
    <w:rPr>
      <w:i/>
      <w:iCs/>
      <w:color w:val="0F4761" w:themeColor="accent1" w:themeShade="BF"/>
    </w:rPr>
  </w:style>
  <w:style w:type="character" w:styleId="Referenciaintensa">
    <w:name w:val="Intense Reference"/>
    <w:basedOn w:val="Fuentedeprrafopredeter"/>
    <w:uiPriority w:val="32"/>
    <w:qFormat/>
    <w:rsid w:val="003B5066"/>
    <w:rPr>
      <w:b/>
      <w:bCs/>
      <w:smallCaps/>
      <w:color w:val="0F4761" w:themeColor="accent1" w:themeShade="BF"/>
      <w:spacing w:val="5"/>
    </w:rPr>
  </w:style>
  <w:style w:type="paragraph" w:styleId="Encabezado">
    <w:name w:val="header"/>
    <w:basedOn w:val="Normal"/>
    <w:link w:val="EncabezadoCar"/>
    <w:uiPriority w:val="99"/>
    <w:unhideWhenUsed/>
    <w:rsid w:val="00C4153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4153E"/>
  </w:style>
  <w:style w:type="paragraph" w:styleId="Piedepgina">
    <w:name w:val="footer"/>
    <w:basedOn w:val="Normal"/>
    <w:link w:val="PiedepginaCar"/>
    <w:uiPriority w:val="99"/>
    <w:unhideWhenUsed/>
    <w:rsid w:val="00C4153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4153E"/>
  </w:style>
  <w:style w:type="character" w:styleId="Refdecomentario">
    <w:name w:val="annotation reference"/>
    <w:basedOn w:val="Fuentedeprrafopredeter"/>
    <w:uiPriority w:val="99"/>
    <w:semiHidden/>
    <w:unhideWhenUsed/>
    <w:rsid w:val="00C84956"/>
    <w:rPr>
      <w:sz w:val="16"/>
      <w:szCs w:val="16"/>
    </w:rPr>
  </w:style>
  <w:style w:type="paragraph" w:styleId="Textocomentario">
    <w:name w:val="annotation text"/>
    <w:basedOn w:val="Normal"/>
    <w:link w:val="TextocomentarioCar"/>
    <w:uiPriority w:val="99"/>
    <w:unhideWhenUsed/>
    <w:rsid w:val="00C84956"/>
    <w:pPr>
      <w:spacing w:line="240" w:lineRule="auto"/>
    </w:pPr>
    <w:rPr>
      <w:sz w:val="20"/>
      <w:szCs w:val="20"/>
    </w:rPr>
  </w:style>
  <w:style w:type="character" w:customStyle="1" w:styleId="TextocomentarioCar">
    <w:name w:val="Texto comentario Car"/>
    <w:basedOn w:val="Fuentedeprrafopredeter"/>
    <w:link w:val="Textocomentario"/>
    <w:uiPriority w:val="99"/>
    <w:rsid w:val="00C84956"/>
    <w:rPr>
      <w:sz w:val="20"/>
      <w:szCs w:val="20"/>
    </w:rPr>
  </w:style>
  <w:style w:type="paragraph" w:styleId="Asuntodelcomentario">
    <w:name w:val="annotation subject"/>
    <w:basedOn w:val="Textocomentario"/>
    <w:next w:val="Textocomentario"/>
    <w:link w:val="AsuntodelcomentarioCar"/>
    <w:uiPriority w:val="99"/>
    <w:semiHidden/>
    <w:unhideWhenUsed/>
    <w:rsid w:val="00C84956"/>
    <w:rPr>
      <w:b/>
      <w:bCs/>
    </w:rPr>
  </w:style>
  <w:style w:type="character" w:customStyle="1" w:styleId="AsuntodelcomentarioCar">
    <w:name w:val="Asunto del comentario Car"/>
    <w:basedOn w:val="TextocomentarioCar"/>
    <w:link w:val="Asuntodelcomentario"/>
    <w:uiPriority w:val="99"/>
    <w:semiHidden/>
    <w:rsid w:val="00C84956"/>
    <w:rPr>
      <w:b/>
      <w:bCs/>
      <w:sz w:val="20"/>
      <w:szCs w:val="20"/>
    </w:rPr>
  </w:style>
  <w:style w:type="character" w:styleId="Hipervnculo">
    <w:name w:val="Hyperlink"/>
    <w:basedOn w:val="Fuentedeprrafopredeter"/>
    <w:uiPriority w:val="99"/>
    <w:unhideWhenUsed/>
    <w:rsid w:val="00265A79"/>
    <w:rPr>
      <w:color w:val="467886" w:themeColor="hyperlink"/>
      <w:u w:val="single"/>
    </w:rPr>
  </w:style>
  <w:style w:type="character" w:styleId="Mencinsinresolver">
    <w:name w:val="Unresolved Mention"/>
    <w:basedOn w:val="Fuentedeprrafopredeter"/>
    <w:uiPriority w:val="99"/>
    <w:semiHidden/>
    <w:unhideWhenUsed/>
    <w:rsid w:val="00265A79"/>
    <w:rPr>
      <w:color w:val="605E5C"/>
      <w:shd w:val="clear" w:color="auto" w:fill="E1DFDD"/>
    </w:rPr>
  </w:style>
  <w:style w:type="paragraph" w:styleId="Revisin">
    <w:name w:val="Revision"/>
    <w:hidden/>
    <w:uiPriority w:val="99"/>
    <w:semiHidden/>
    <w:rsid w:val="00DB30B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7681457">
      <w:bodyDiv w:val="1"/>
      <w:marLeft w:val="0"/>
      <w:marRight w:val="0"/>
      <w:marTop w:val="0"/>
      <w:marBottom w:val="0"/>
      <w:divBdr>
        <w:top w:val="none" w:sz="0" w:space="0" w:color="auto"/>
        <w:left w:val="none" w:sz="0" w:space="0" w:color="auto"/>
        <w:bottom w:val="none" w:sz="0" w:space="0" w:color="auto"/>
        <w:right w:val="none" w:sz="0" w:space="0" w:color="auto"/>
      </w:divBdr>
    </w:div>
    <w:div w:id="952249997">
      <w:bodyDiv w:val="1"/>
      <w:marLeft w:val="0"/>
      <w:marRight w:val="0"/>
      <w:marTop w:val="0"/>
      <w:marBottom w:val="0"/>
      <w:divBdr>
        <w:top w:val="none" w:sz="0" w:space="0" w:color="auto"/>
        <w:left w:val="none" w:sz="0" w:space="0" w:color="auto"/>
        <w:bottom w:val="none" w:sz="0" w:space="0" w:color="auto"/>
        <w:right w:val="none" w:sz="0" w:space="0" w:color="auto"/>
      </w:divBdr>
    </w:div>
    <w:div w:id="1347290710">
      <w:bodyDiv w:val="1"/>
      <w:marLeft w:val="0"/>
      <w:marRight w:val="0"/>
      <w:marTop w:val="0"/>
      <w:marBottom w:val="0"/>
      <w:divBdr>
        <w:top w:val="none" w:sz="0" w:space="0" w:color="auto"/>
        <w:left w:val="none" w:sz="0" w:space="0" w:color="auto"/>
        <w:bottom w:val="none" w:sz="0" w:space="0" w:color="auto"/>
        <w:right w:val="none" w:sz="0" w:space="0" w:color="auto"/>
      </w:divBdr>
    </w:div>
    <w:div w:id="1805267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kane.larrinaga@tinkle.es"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yasmin.afonzo@tinkle.es"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earmendia@recomunica.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3</Pages>
  <Words>1245</Words>
  <Characters>6850</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Yasmin Afonzo</dc:creator>
  <cp:keywords/>
  <dc:description/>
  <cp:lastModifiedBy>Yasmin Afonzo</cp:lastModifiedBy>
  <cp:revision>8</cp:revision>
  <dcterms:created xsi:type="dcterms:W3CDTF">2025-04-09T10:46:00Z</dcterms:created>
  <dcterms:modified xsi:type="dcterms:W3CDTF">2025-05-05T07:50:00Z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198da77,23aa5671,25a8ee03</vt:lpwstr>
  </property>
  <property fmtid="{D5CDD505-2E9C-101B-9397-08002B2CF9AE}" pid="3" name="ClassificationContentMarkingFooterFontProps">
    <vt:lpwstr>#0078d7,10,Calibri</vt:lpwstr>
  </property>
  <property fmtid="{D5CDD505-2E9C-101B-9397-08002B2CF9AE}" pid="4" name="ClassificationContentMarkingFooterText">
    <vt:lpwstr>Classification : Internal</vt:lpwstr>
  </property>
  <property fmtid="{D5CDD505-2E9C-101B-9397-08002B2CF9AE}" pid="5" name="MSIP_Label_8ffbc0b8-e97b-47d1-beac-cb0955d66f3b_Enabled">
    <vt:lpwstr>true</vt:lpwstr>
  </property>
  <property fmtid="{D5CDD505-2E9C-101B-9397-08002B2CF9AE}" pid="6" name="MSIP_Label_8ffbc0b8-e97b-47d1-beac-cb0955d66f3b_SetDate">
    <vt:lpwstr>2025-04-09T09:58:55Z</vt:lpwstr>
  </property>
  <property fmtid="{D5CDD505-2E9C-101B-9397-08002B2CF9AE}" pid="7" name="MSIP_Label_8ffbc0b8-e97b-47d1-beac-cb0955d66f3b_Method">
    <vt:lpwstr>Privileged</vt:lpwstr>
  </property>
  <property fmtid="{D5CDD505-2E9C-101B-9397-08002B2CF9AE}" pid="8" name="MSIP_Label_8ffbc0b8-e97b-47d1-beac-cb0955d66f3b_Name">
    <vt:lpwstr>8ffbc0b8-e97b-47d1-beac-cb0955d66f3b</vt:lpwstr>
  </property>
  <property fmtid="{D5CDD505-2E9C-101B-9397-08002B2CF9AE}" pid="9" name="MSIP_Label_8ffbc0b8-e97b-47d1-beac-cb0955d66f3b_SiteId">
    <vt:lpwstr>614f9c25-bffa-42c7-86d8-964101f55fa2</vt:lpwstr>
  </property>
  <property fmtid="{D5CDD505-2E9C-101B-9397-08002B2CF9AE}" pid="10" name="MSIP_Label_8ffbc0b8-e97b-47d1-beac-cb0955d66f3b_ActionId">
    <vt:lpwstr>d82885d5-b27c-43a0-b1d4-54270cd7d6e1</vt:lpwstr>
  </property>
  <property fmtid="{D5CDD505-2E9C-101B-9397-08002B2CF9AE}" pid="11" name="MSIP_Label_8ffbc0b8-e97b-47d1-beac-cb0955d66f3b_ContentBits">
    <vt:lpwstr>2</vt:lpwstr>
  </property>
  <property fmtid="{D5CDD505-2E9C-101B-9397-08002B2CF9AE}" pid="12" name="MSIP_Label_8ffbc0b8-e97b-47d1-beac-cb0955d66f3b_Tag">
    <vt:lpwstr>10, 0, 1, 1</vt:lpwstr>
  </property>
</Properties>
</file>