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B0E53" w14:textId="77777777" w:rsidR="008976ED" w:rsidRDefault="008976ED">
      <w:pPr>
        <w:rPr>
          <w:rFonts w:ascii="Arial Narrow" w:eastAsia="Arial Narrow" w:hAnsi="Arial Narrow" w:cs="Arial Narrow"/>
          <w:b/>
          <w:color w:val="007C50"/>
          <w:sz w:val="40"/>
          <w:szCs w:val="40"/>
        </w:rPr>
      </w:pPr>
    </w:p>
    <w:p w14:paraId="16F182FC" w14:textId="77777777" w:rsidR="008976ED" w:rsidRDefault="009F037A">
      <w:pPr>
        <w:jc w:val="center"/>
        <w:rPr>
          <w:rFonts w:ascii="Arial Narrow" w:eastAsia="Arial Narrow" w:hAnsi="Arial Narrow" w:cs="Arial Narrow"/>
          <w:b/>
          <w:color w:val="007C50"/>
          <w:sz w:val="18"/>
          <w:szCs w:val="18"/>
        </w:rPr>
      </w:pPr>
      <w:r>
        <w:rPr>
          <w:noProof/>
        </w:rPr>
        <mc:AlternateContent>
          <mc:Choice Requires="wpg">
            <w:drawing>
              <wp:anchor distT="0" distB="0" distL="0" distR="0" simplePos="0" relativeHeight="251658240" behindDoc="0" locked="0" layoutInCell="1" hidden="0" allowOverlap="1" wp14:anchorId="7CBBFB4B" wp14:editId="52A46CE6">
                <wp:simplePos x="0" y="0"/>
                <wp:positionH relativeFrom="column">
                  <wp:posOffset>-314324</wp:posOffset>
                </wp:positionH>
                <wp:positionV relativeFrom="paragraph">
                  <wp:posOffset>0</wp:posOffset>
                </wp:positionV>
                <wp:extent cx="6524625" cy="400050"/>
                <wp:effectExtent l="0" t="0" r="0" b="0"/>
                <wp:wrapSquare wrapText="bothSides" distT="0" distB="0" distL="0" distR="0"/>
                <wp:docPr id="1681942883" name=""/>
                <wp:cNvGraphicFramePr/>
                <a:graphic xmlns:a="http://schemas.openxmlformats.org/drawingml/2006/main">
                  <a:graphicData uri="http://schemas.microsoft.com/office/word/2010/wordprocessingShape">
                    <wps:wsp>
                      <wps:cNvSpPr/>
                      <wps:spPr>
                        <a:xfrm>
                          <a:off x="2363633" y="3589500"/>
                          <a:ext cx="5964734" cy="381000"/>
                        </a:xfrm>
                        <a:prstGeom prst="rect">
                          <a:avLst/>
                        </a:prstGeom>
                        <a:solidFill>
                          <a:srgbClr val="00A76A"/>
                        </a:solidFill>
                        <a:ln>
                          <a:noFill/>
                        </a:ln>
                      </wps:spPr>
                      <wps:txbx>
                        <w:txbxContent>
                          <w:p w14:paraId="43F41CB4" w14:textId="77777777" w:rsidR="008976ED" w:rsidRDefault="009F037A">
                            <w:pPr>
                              <w:spacing w:line="264" w:lineRule="auto"/>
                              <w:jc w:val="center"/>
                              <w:textDirection w:val="btLr"/>
                            </w:pPr>
                            <w:r>
                              <w:rPr>
                                <w:b/>
                                <w:smallCaps/>
                                <w:color w:val="FFFFFF"/>
                                <w:sz w:val="24"/>
                              </w:rPr>
                              <w:t>NOTA DE PRENSA</w:t>
                            </w:r>
                          </w:p>
                        </w:txbxContent>
                      </wps:txbx>
                      <wps:bodyPr spcFirstLastPara="1" wrap="square" lIns="0" tIns="0" rIns="0" bIns="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-314324</wp:posOffset>
                </wp:positionH>
                <wp:positionV relativeFrom="paragraph">
                  <wp:posOffset>0</wp:posOffset>
                </wp:positionV>
                <wp:extent cx="6524625" cy="400050"/>
                <wp:effectExtent b="0" l="0" r="0" t="0"/>
                <wp:wrapSquare wrapText="bothSides" distB="0" distT="0" distL="0" distR="0"/>
                <wp:docPr id="1681942883"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6524625" cy="400050"/>
                        </a:xfrm>
                        <a:prstGeom prst="rect"/>
                        <a:ln/>
                      </pic:spPr>
                    </pic:pic>
                  </a:graphicData>
                </a:graphic>
              </wp:anchor>
            </w:drawing>
          </mc:Fallback>
        </mc:AlternateContent>
      </w:r>
    </w:p>
    <w:p w14:paraId="4A3AC88D" w14:textId="77777777" w:rsidR="008976ED" w:rsidRDefault="009F037A">
      <w:pPr>
        <w:jc w:val="center"/>
        <w:rPr>
          <w:rFonts w:ascii="Arial Narrow" w:eastAsia="Arial Narrow" w:hAnsi="Arial Narrow" w:cs="Arial Narrow"/>
          <w:b/>
          <w:color w:val="007C50"/>
          <w:sz w:val="18"/>
          <w:szCs w:val="18"/>
        </w:rPr>
      </w:pPr>
      <w:r>
        <w:rPr>
          <w:rFonts w:ascii="Arial Narrow" w:eastAsia="Arial Narrow" w:hAnsi="Arial Narrow" w:cs="Arial Narrow"/>
          <w:b/>
          <w:color w:val="007C50"/>
          <w:sz w:val="18"/>
          <w:szCs w:val="18"/>
        </w:rPr>
        <w:t>AT A GLANCE 2024 - ANÁLISIS DEL MERCADO DEL RETAIL CENTROS COMERCIALES Y PARQUES DE MEDIANAS </w:t>
      </w:r>
    </w:p>
    <w:p w14:paraId="4C2C9C3E" w14:textId="77777777" w:rsidR="008976ED" w:rsidRDefault="008976ED">
      <w:pPr>
        <w:jc w:val="center"/>
        <w:rPr>
          <w:rFonts w:ascii="Arial Narrow" w:eastAsia="Arial Narrow" w:hAnsi="Arial Narrow" w:cs="Arial Narrow"/>
          <w:b/>
          <w:color w:val="007C50"/>
          <w:sz w:val="18"/>
          <w:szCs w:val="18"/>
        </w:rPr>
      </w:pPr>
    </w:p>
    <w:p w14:paraId="6672DA40" w14:textId="77777777" w:rsidR="008976ED" w:rsidRDefault="008976ED">
      <w:pPr>
        <w:jc w:val="center"/>
        <w:rPr>
          <w:rFonts w:ascii="Arial Narrow" w:eastAsia="Arial Narrow" w:hAnsi="Arial Narrow" w:cs="Arial Narrow"/>
          <w:b/>
          <w:color w:val="007C50"/>
          <w:sz w:val="18"/>
          <w:szCs w:val="18"/>
        </w:rPr>
      </w:pPr>
    </w:p>
    <w:p w14:paraId="5F2BC062" w14:textId="77777777" w:rsidR="008976ED" w:rsidRDefault="009F037A">
      <w:pPr>
        <w:shd w:val="clear" w:color="auto" w:fill="FFFFFF"/>
        <w:jc w:val="center"/>
        <w:rPr>
          <w:rFonts w:ascii="Arial Narrow" w:eastAsia="Arial Narrow" w:hAnsi="Arial Narrow" w:cs="Arial Narrow"/>
          <w:b/>
          <w:color w:val="FF0000"/>
          <w:sz w:val="40"/>
          <w:szCs w:val="40"/>
        </w:rPr>
      </w:pPr>
      <w:r>
        <w:rPr>
          <w:rFonts w:ascii="Arial Narrow" w:eastAsia="Arial Narrow" w:hAnsi="Arial Narrow" w:cs="Arial Narrow"/>
          <w:b/>
          <w:color w:val="0E6B3F"/>
          <w:sz w:val="40"/>
          <w:szCs w:val="40"/>
        </w:rPr>
        <w:t xml:space="preserve">LOS CENTROS COMERCIALES TRIPLICAN LA INVERSIÓN DE 2023 Y PROTAGONIZAN UN ARRANQUE DE 2024 EN POSITIVO </w:t>
      </w:r>
    </w:p>
    <w:p w14:paraId="2C806876" w14:textId="77777777" w:rsidR="008976ED" w:rsidRDefault="008976ED">
      <w:pPr>
        <w:shd w:val="clear" w:color="auto" w:fill="FFFFFF"/>
        <w:jc w:val="center"/>
        <w:rPr>
          <w:rFonts w:ascii="Arial Narrow" w:eastAsia="Arial Narrow" w:hAnsi="Arial Narrow" w:cs="Arial Narrow"/>
          <w:b/>
          <w:color w:val="FF0000"/>
          <w:sz w:val="40"/>
          <w:szCs w:val="40"/>
        </w:rPr>
      </w:pPr>
    </w:p>
    <w:p w14:paraId="5534502E" w14:textId="2FE143CE" w:rsidR="008976ED" w:rsidRDefault="009F037A">
      <w:pPr>
        <w:numPr>
          <w:ilvl w:val="0"/>
          <w:numId w:val="1"/>
        </w:numPr>
        <w:pBdr>
          <w:top w:val="nil"/>
          <w:left w:val="nil"/>
          <w:bottom w:val="nil"/>
          <w:right w:val="nil"/>
          <w:between w:val="nil"/>
        </w:pBdr>
        <w:jc w:val="both"/>
        <w:rPr>
          <w:b/>
        </w:rPr>
      </w:pPr>
      <w:r>
        <w:rPr>
          <w:b/>
        </w:rPr>
        <w:t xml:space="preserve">El sector del RETAIL consolida su recuperación en España, con niveles de afluencias y ventas que superan o igualan los niveles </w:t>
      </w:r>
      <w:r w:rsidR="000D198E">
        <w:rPr>
          <w:b/>
        </w:rPr>
        <w:t>prepandemia</w:t>
      </w:r>
      <w:r>
        <w:rPr>
          <w:b/>
        </w:rPr>
        <w:t>. Se consolid</w:t>
      </w:r>
      <w:r>
        <w:rPr>
          <w:b/>
        </w:rPr>
        <w:t>a como un activo atractivo para el capital institucional.</w:t>
      </w:r>
    </w:p>
    <w:p w14:paraId="52F4E255" w14:textId="77777777" w:rsidR="008976ED" w:rsidRDefault="008976ED">
      <w:pPr>
        <w:pBdr>
          <w:top w:val="nil"/>
          <w:left w:val="nil"/>
          <w:bottom w:val="nil"/>
          <w:right w:val="nil"/>
          <w:between w:val="nil"/>
        </w:pBdr>
        <w:ind w:left="720"/>
        <w:jc w:val="both"/>
        <w:rPr>
          <w:b/>
        </w:rPr>
      </w:pPr>
    </w:p>
    <w:p w14:paraId="179BA6C1" w14:textId="77777777" w:rsidR="008976ED" w:rsidRDefault="009F037A">
      <w:pPr>
        <w:numPr>
          <w:ilvl w:val="0"/>
          <w:numId w:val="1"/>
        </w:numPr>
        <w:pBdr>
          <w:top w:val="nil"/>
          <w:left w:val="nil"/>
          <w:bottom w:val="nil"/>
          <w:right w:val="nil"/>
          <w:between w:val="nil"/>
        </w:pBdr>
        <w:jc w:val="both"/>
        <w:rPr>
          <w:b/>
        </w:rPr>
      </w:pPr>
      <w:r>
        <w:rPr>
          <w:b/>
        </w:rPr>
        <w:t>El sector alcanza los 832 millones de euros de inversión durante el primer trimestre, el doble que el anterior y más del triple que en el mismo período de 2023.</w:t>
      </w:r>
    </w:p>
    <w:p w14:paraId="495905B7" w14:textId="77777777" w:rsidR="008976ED" w:rsidRDefault="008976ED">
      <w:pPr>
        <w:pBdr>
          <w:top w:val="nil"/>
          <w:left w:val="nil"/>
          <w:bottom w:val="nil"/>
          <w:right w:val="nil"/>
          <w:between w:val="nil"/>
        </w:pBdr>
        <w:ind w:left="720"/>
        <w:jc w:val="both"/>
        <w:rPr>
          <w:b/>
        </w:rPr>
      </w:pPr>
    </w:p>
    <w:p w14:paraId="773D21E2" w14:textId="73F3A3B4" w:rsidR="008976ED" w:rsidRDefault="000D198E">
      <w:pPr>
        <w:numPr>
          <w:ilvl w:val="0"/>
          <w:numId w:val="1"/>
        </w:numPr>
        <w:pBdr>
          <w:top w:val="nil"/>
          <w:left w:val="nil"/>
          <w:bottom w:val="nil"/>
          <w:right w:val="nil"/>
          <w:between w:val="nil"/>
        </w:pBdr>
        <w:jc w:val="both"/>
        <w:rPr>
          <w:b/>
        </w:rPr>
      </w:pPr>
      <w:r>
        <w:rPr>
          <w:b/>
        </w:rPr>
        <w:t>Los centros comerciales han</w:t>
      </w:r>
      <w:r w:rsidR="009F037A">
        <w:rPr>
          <w:b/>
        </w:rPr>
        <w:t xml:space="preserve"> aglutinado más del 55% de la inversión en el sector del </w:t>
      </w:r>
      <w:proofErr w:type="spellStart"/>
      <w:r w:rsidR="009F037A">
        <w:rPr>
          <w:b/>
        </w:rPr>
        <w:t>Retail</w:t>
      </w:r>
      <w:proofErr w:type="spellEnd"/>
      <w:r w:rsidR="009F037A">
        <w:rPr>
          <w:b/>
        </w:rPr>
        <w:t xml:space="preserve">, destacando la compra de un centro en Madrid) por 121 millones de euros o la adquisición de un </w:t>
      </w:r>
      <w:r>
        <w:rPr>
          <w:b/>
        </w:rPr>
        <w:t>porfolio</w:t>
      </w:r>
      <w:r w:rsidR="009F037A">
        <w:rPr>
          <w:b/>
        </w:rPr>
        <w:t xml:space="preserve"> de tres centros ubicados en Cuenca, Alicante (Alcoy) y A Coruña </w:t>
      </w:r>
      <w:r w:rsidR="009F037A">
        <w:rPr>
          <w:b/>
        </w:rPr>
        <w:t>por 70 millones de euros.</w:t>
      </w:r>
    </w:p>
    <w:p w14:paraId="7F49C439" w14:textId="77777777" w:rsidR="008976ED" w:rsidRDefault="008976ED">
      <w:pPr>
        <w:shd w:val="clear" w:color="auto" w:fill="FFFFFF"/>
        <w:jc w:val="both"/>
        <w:rPr>
          <w:b/>
          <w:color w:val="222222"/>
          <w:highlight w:val="red"/>
        </w:rPr>
      </w:pPr>
    </w:p>
    <w:p w14:paraId="4BF9B8EA" w14:textId="77777777" w:rsidR="008976ED" w:rsidRDefault="008976ED">
      <w:pPr>
        <w:shd w:val="clear" w:color="auto" w:fill="FFFFFF"/>
        <w:jc w:val="both"/>
        <w:rPr>
          <w:b/>
          <w:color w:val="222222"/>
          <w:highlight w:val="red"/>
        </w:rPr>
      </w:pPr>
    </w:p>
    <w:p w14:paraId="4637CCBD" w14:textId="7D1A4E42" w:rsidR="008976ED" w:rsidRDefault="009F037A">
      <w:pPr>
        <w:shd w:val="clear" w:color="auto" w:fill="FFFFFF"/>
        <w:jc w:val="both"/>
      </w:pPr>
      <w:r>
        <w:rPr>
          <w:b/>
          <w:color w:val="222222"/>
        </w:rPr>
        <w:t xml:space="preserve">Madrid, </w:t>
      </w:r>
      <w:r w:rsidR="000D198E">
        <w:rPr>
          <w:b/>
          <w:color w:val="222222"/>
          <w:highlight w:val="white"/>
        </w:rPr>
        <w:t>15</w:t>
      </w:r>
      <w:r>
        <w:rPr>
          <w:b/>
          <w:color w:val="222222"/>
          <w:highlight w:val="white"/>
        </w:rPr>
        <w:t xml:space="preserve"> de ju</w:t>
      </w:r>
      <w:r w:rsidR="000D198E">
        <w:rPr>
          <w:b/>
          <w:color w:val="222222"/>
          <w:highlight w:val="white"/>
        </w:rPr>
        <w:t>l</w:t>
      </w:r>
      <w:r>
        <w:rPr>
          <w:b/>
          <w:color w:val="222222"/>
          <w:highlight w:val="white"/>
        </w:rPr>
        <w:t>io de 2024</w:t>
      </w:r>
      <w:r>
        <w:rPr>
          <w:color w:val="222222"/>
          <w:highlight w:val="white"/>
        </w:rPr>
        <w:t xml:space="preserve">.- </w:t>
      </w:r>
      <w:r>
        <w:t xml:space="preserve">BNP </w:t>
      </w:r>
      <w:proofErr w:type="spellStart"/>
      <w:r>
        <w:t>Paribas</w:t>
      </w:r>
      <w:proofErr w:type="spellEnd"/>
      <w:r>
        <w:t xml:space="preserve"> Real Estate presenta un extenso informe sobre la performance del sector </w:t>
      </w:r>
      <w:proofErr w:type="spellStart"/>
      <w:r>
        <w:t>Retail</w:t>
      </w:r>
      <w:proofErr w:type="spellEnd"/>
      <w:r>
        <w:t xml:space="preserve"> en un amplio sentido. El documento contempla la inversión y actividad transaccional de activos alrededor de</w:t>
      </w:r>
      <w:r>
        <w:t xml:space="preserve">l </w:t>
      </w:r>
      <w:proofErr w:type="spellStart"/>
      <w:r>
        <w:t>Retail</w:t>
      </w:r>
      <w:proofErr w:type="spellEnd"/>
      <w:r>
        <w:t xml:space="preserve"> en España, pero también una visión sobre el sector en Europa, cifras sobre la performance de los propios Centros Comerciales y tendencias que marcarán los próximos ejercicios. </w:t>
      </w:r>
    </w:p>
    <w:p w14:paraId="65B63F6E" w14:textId="77777777" w:rsidR="008976ED" w:rsidRDefault="008976ED">
      <w:pPr>
        <w:shd w:val="clear" w:color="auto" w:fill="FFFFFF"/>
        <w:jc w:val="both"/>
      </w:pPr>
    </w:p>
    <w:p w14:paraId="1BAC57D3" w14:textId="5B9E88B3" w:rsidR="008976ED" w:rsidRDefault="009F037A">
      <w:pPr>
        <w:pBdr>
          <w:top w:val="nil"/>
          <w:left w:val="nil"/>
          <w:bottom w:val="nil"/>
          <w:right w:val="nil"/>
          <w:between w:val="nil"/>
        </w:pBdr>
        <w:shd w:val="clear" w:color="auto" w:fill="FFFFFF"/>
        <w:jc w:val="both"/>
      </w:pPr>
      <w:r>
        <w:t xml:space="preserve">La base del </w:t>
      </w:r>
      <w:proofErr w:type="spellStart"/>
      <w:r>
        <w:t>Retail</w:t>
      </w:r>
      <w:proofErr w:type="spellEnd"/>
      <w:r>
        <w:t xml:space="preserve"> es el consumo, por ello, BNP </w:t>
      </w:r>
      <w:proofErr w:type="spellStart"/>
      <w:r>
        <w:t>Paribas</w:t>
      </w:r>
      <w:proofErr w:type="spellEnd"/>
      <w:r>
        <w:t xml:space="preserve"> Real Estate lo contempla en el informe presentado. La</w:t>
      </w:r>
      <w:r>
        <w:rPr>
          <w:b/>
        </w:rPr>
        <w:t xml:space="preserve"> economía española</w:t>
      </w:r>
      <w:r>
        <w:t xml:space="preserve">, según datos publicados por el INE, </w:t>
      </w:r>
      <w:r>
        <w:rPr>
          <w:b/>
        </w:rPr>
        <w:t>creció un 0,8% en el primer trimestre.</w:t>
      </w:r>
      <w:r>
        <w:t xml:space="preserve"> En este contexto y con la inflación bajando considera</w:t>
      </w:r>
      <w:r>
        <w:t xml:space="preserve">blemente, las cifras de consumo parecen recuperar niveles </w:t>
      </w:r>
      <w:r w:rsidR="000D198E">
        <w:t>prepandemia</w:t>
      </w:r>
      <w:r>
        <w:t>. El</w:t>
      </w:r>
      <w:r>
        <w:rPr>
          <w:b/>
        </w:rPr>
        <w:t xml:space="preserve"> consumo de los hogares aceleró su crecimiento interanual una décima, hasta el 2,5%</w:t>
      </w:r>
      <w:r>
        <w:t>, Ya en diciembre de 2023, antes de la reducción progresiva de precios, las </w:t>
      </w:r>
      <w:r>
        <w:rPr>
          <w:b/>
        </w:rPr>
        <w:t>ventas minoristas en Es</w:t>
      </w:r>
      <w:r>
        <w:rPr>
          <w:b/>
        </w:rPr>
        <w:t>paña se incrementaron un 3,4% respecto al mismo mes del pasado año</w:t>
      </w:r>
      <w:r>
        <w:t xml:space="preserve">, lo que nos hace considerar como buena la salud del consumo. Con los datos encima de la mesa, esta buena salud se confirma. </w:t>
      </w:r>
      <w:r>
        <w:rPr>
          <w:b/>
        </w:rPr>
        <w:t>La afluencia a los centros comerciales españoles registró un crec</w:t>
      </w:r>
      <w:r>
        <w:rPr>
          <w:b/>
        </w:rPr>
        <w:t>imiento del 3,8% en febrero respecto al mismo periodo del año anterior, mientras que en el acumulado del año las afluencias se sitúan en 5,3%</w:t>
      </w:r>
      <w:r>
        <w:t xml:space="preserve">. </w:t>
      </w:r>
    </w:p>
    <w:p w14:paraId="3DB1EC9B" w14:textId="77777777" w:rsidR="008976ED" w:rsidRDefault="008976ED">
      <w:pPr>
        <w:pBdr>
          <w:top w:val="nil"/>
          <w:left w:val="nil"/>
          <w:bottom w:val="nil"/>
          <w:right w:val="nil"/>
          <w:between w:val="nil"/>
        </w:pBdr>
        <w:shd w:val="clear" w:color="auto" w:fill="FFFFFF"/>
        <w:jc w:val="both"/>
      </w:pPr>
    </w:p>
    <w:p w14:paraId="6DCEBD90" w14:textId="77777777" w:rsidR="008976ED" w:rsidRDefault="009F037A">
      <w:pPr>
        <w:pBdr>
          <w:top w:val="nil"/>
          <w:left w:val="nil"/>
          <w:bottom w:val="nil"/>
          <w:right w:val="nil"/>
          <w:between w:val="nil"/>
        </w:pBdr>
        <w:shd w:val="clear" w:color="auto" w:fill="FFFFFF"/>
        <w:jc w:val="both"/>
        <w:rPr>
          <w:b/>
        </w:rPr>
      </w:pPr>
      <w:r>
        <w:rPr>
          <w:b/>
        </w:rPr>
        <w:lastRenderedPageBreak/>
        <w:t>“</w:t>
      </w:r>
      <w:r>
        <w:rPr>
          <w:b/>
          <w:i/>
        </w:rPr>
        <w:t xml:space="preserve">Estas cifras sitúan al </w:t>
      </w:r>
      <w:proofErr w:type="spellStart"/>
      <w:r>
        <w:rPr>
          <w:b/>
          <w:i/>
        </w:rPr>
        <w:t>Retail</w:t>
      </w:r>
      <w:proofErr w:type="spellEnd"/>
      <w:r>
        <w:rPr>
          <w:b/>
          <w:i/>
        </w:rPr>
        <w:t xml:space="preserve"> físico en un momento optimista para consolidarse como una tipología de activo co</w:t>
      </w:r>
      <w:r>
        <w:rPr>
          <w:b/>
          <w:i/>
        </w:rPr>
        <w:t xml:space="preserve">n alta rentabilidad y, por tanto, atractivo para inversores, especialmente institucionales. En los próximos años veremos nuevos activos relevantes entrar en el mercado que estoy seguro </w:t>
      </w:r>
      <w:proofErr w:type="gramStart"/>
      <w:r>
        <w:rPr>
          <w:b/>
          <w:i/>
        </w:rPr>
        <w:t>que</w:t>
      </w:r>
      <w:proofErr w:type="gramEnd"/>
      <w:r>
        <w:rPr>
          <w:b/>
          <w:i/>
        </w:rPr>
        <w:t xml:space="preserve"> marcarán la agenda de numerosos inversores, tanto nacionales como i</w:t>
      </w:r>
      <w:r>
        <w:rPr>
          <w:b/>
          <w:i/>
        </w:rPr>
        <w:t xml:space="preserve">nternacionales” </w:t>
      </w:r>
      <w:r>
        <w:t xml:space="preserve">ha declarado </w:t>
      </w:r>
      <w:r>
        <w:rPr>
          <w:b/>
        </w:rPr>
        <w:t xml:space="preserve">David Alonso, Head </w:t>
      </w:r>
      <w:proofErr w:type="spellStart"/>
      <w:r>
        <w:rPr>
          <w:b/>
        </w:rPr>
        <w:t>of</w:t>
      </w:r>
      <w:proofErr w:type="spellEnd"/>
      <w:r>
        <w:rPr>
          <w:b/>
        </w:rPr>
        <w:t xml:space="preserve"> </w:t>
      </w:r>
      <w:proofErr w:type="spellStart"/>
      <w:r>
        <w:rPr>
          <w:b/>
        </w:rPr>
        <w:t>Research</w:t>
      </w:r>
      <w:proofErr w:type="spellEnd"/>
      <w:r>
        <w:rPr>
          <w:b/>
        </w:rPr>
        <w:t xml:space="preserve"> en BNP </w:t>
      </w:r>
      <w:proofErr w:type="spellStart"/>
      <w:r>
        <w:rPr>
          <w:b/>
        </w:rPr>
        <w:t>Paribas</w:t>
      </w:r>
      <w:proofErr w:type="spellEnd"/>
      <w:r>
        <w:rPr>
          <w:b/>
        </w:rPr>
        <w:t xml:space="preserve"> Real Estate </w:t>
      </w:r>
      <w:proofErr w:type="spellStart"/>
      <w:r>
        <w:rPr>
          <w:b/>
        </w:rPr>
        <w:t>Spain</w:t>
      </w:r>
      <w:proofErr w:type="spellEnd"/>
      <w:r>
        <w:rPr>
          <w:b/>
        </w:rPr>
        <w:t xml:space="preserve">. </w:t>
      </w:r>
    </w:p>
    <w:p w14:paraId="2F4B338D" w14:textId="77777777" w:rsidR="008976ED" w:rsidRDefault="008976ED">
      <w:pPr>
        <w:pBdr>
          <w:top w:val="nil"/>
          <w:left w:val="nil"/>
          <w:bottom w:val="nil"/>
          <w:right w:val="nil"/>
          <w:between w:val="nil"/>
        </w:pBdr>
        <w:shd w:val="clear" w:color="auto" w:fill="FFFFFF"/>
        <w:jc w:val="both"/>
      </w:pPr>
    </w:p>
    <w:p w14:paraId="730573F9" w14:textId="77777777" w:rsidR="008976ED" w:rsidRDefault="009F037A">
      <w:pPr>
        <w:pBdr>
          <w:top w:val="nil"/>
          <w:left w:val="nil"/>
          <w:bottom w:val="nil"/>
          <w:right w:val="nil"/>
          <w:between w:val="nil"/>
        </w:pBdr>
        <w:shd w:val="clear" w:color="auto" w:fill="FFFFFF"/>
        <w:jc w:val="both"/>
        <w:rPr>
          <w:b/>
        </w:rPr>
      </w:pPr>
      <w:r>
        <w:rPr>
          <w:b/>
        </w:rPr>
        <w:t>Centros Comerciales, los grandes deseados</w:t>
      </w:r>
    </w:p>
    <w:p w14:paraId="333F09CC" w14:textId="77777777" w:rsidR="008976ED" w:rsidRDefault="009F037A">
      <w:pPr>
        <w:pBdr>
          <w:top w:val="nil"/>
          <w:left w:val="nil"/>
          <w:bottom w:val="nil"/>
          <w:right w:val="nil"/>
          <w:between w:val="nil"/>
        </w:pBdr>
        <w:shd w:val="clear" w:color="auto" w:fill="FFFFFF"/>
        <w:jc w:val="both"/>
      </w:pPr>
      <w:r>
        <w:t>El sector de los centros comerciales en España ha empezado el 2024 de una manera brillante, superando los buenos regis</w:t>
      </w:r>
      <w:r>
        <w:t>tros de ventas del periodo 2023 e incluso los de 2019</w:t>
      </w:r>
      <w:r>
        <w:rPr>
          <w:b/>
        </w:rPr>
        <w:t>. El sector viene de un 2023 en el que se alcanzaron cifras históricas, registrando un incremento del 9% sobre las ventas de 2022 y un 14% por encima de las de 2019.</w:t>
      </w:r>
      <w:r>
        <w:t xml:space="preserve"> Esta tendencia positiva de las ventas</w:t>
      </w:r>
      <w:r>
        <w:t xml:space="preserve"> se ha consolidado en el primer trimestre de 2024, con un incremento del 7.9% en comparación con el mismo periodo del 2023, según datos recientes de PwC y </w:t>
      </w:r>
      <w:proofErr w:type="spellStart"/>
      <w:r>
        <w:t>Apresco</w:t>
      </w:r>
      <w:proofErr w:type="spellEnd"/>
      <w:r>
        <w:t>. Estas cifras, confirman a los centros comerciales como un emplazamiento óptimo para las marc</w:t>
      </w:r>
      <w:r>
        <w:t xml:space="preserve">as y por tanto como un activo rentable por su demanda estable. </w:t>
      </w:r>
    </w:p>
    <w:p w14:paraId="1467B825" w14:textId="77777777" w:rsidR="008976ED" w:rsidRDefault="008976ED">
      <w:pPr>
        <w:pBdr>
          <w:top w:val="nil"/>
          <w:left w:val="nil"/>
          <w:bottom w:val="nil"/>
          <w:right w:val="nil"/>
          <w:between w:val="nil"/>
        </w:pBdr>
        <w:shd w:val="clear" w:color="auto" w:fill="FFFFFF"/>
        <w:jc w:val="both"/>
      </w:pPr>
    </w:p>
    <w:p w14:paraId="6A101F88" w14:textId="77777777" w:rsidR="008976ED" w:rsidRDefault="009F037A">
      <w:pPr>
        <w:widowControl w:val="0"/>
        <w:spacing w:line="288" w:lineRule="auto"/>
        <w:jc w:val="both"/>
      </w:pPr>
      <w:r>
        <w:t>Por lo que a inmobiliario se refiere, después de un largo periodo en el que la actividad registrada en el sector del RETAIL se centraba en la tipología de locales comerciales (High Street), p</w:t>
      </w:r>
      <w:r>
        <w:t>untos de venta de alimentación, medianas y parques comerciales, los centros comerciales están de nuevo en el radar de los inversores. Los principales factores que han motivado la confianza de los inversores a esta tipología de activo han sido las buenas ci</w:t>
      </w:r>
      <w:r>
        <w:t xml:space="preserve">fras de ventas y afluencias registradas en los últimos meses y unas rentabilidades que empiezan a ser atractivas para los compradores. </w:t>
      </w:r>
    </w:p>
    <w:p w14:paraId="0796982D" w14:textId="77777777" w:rsidR="008976ED" w:rsidRDefault="008976ED">
      <w:pPr>
        <w:widowControl w:val="0"/>
        <w:spacing w:line="288" w:lineRule="auto"/>
        <w:jc w:val="both"/>
      </w:pPr>
    </w:p>
    <w:p w14:paraId="37589BD0" w14:textId="77777777" w:rsidR="008976ED" w:rsidRDefault="009F037A">
      <w:pPr>
        <w:widowControl w:val="0"/>
        <w:spacing w:before="100" w:line="288" w:lineRule="auto"/>
        <w:jc w:val="both"/>
        <w:rPr>
          <w:b/>
        </w:rPr>
      </w:pPr>
      <w:r>
        <w:rPr>
          <w:b/>
        </w:rPr>
        <w:t xml:space="preserve">El volumen de inversión registrado en el primer trimestre del año se alza hasta los 832 millones de euros. Esta cifra supone duplicar los niveles registrados en el anterior trimestre y multiplicar por 3,5 la inversión contabilizada en el mismo periodo del </w:t>
      </w:r>
      <w:r>
        <w:rPr>
          <w:b/>
        </w:rPr>
        <w:t xml:space="preserve">2023. </w:t>
      </w:r>
    </w:p>
    <w:p w14:paraId="5D5E4D82" w14:textId="77777777" w:rsidR="008976ED" w:rsidRDefault="008976ED">
      <w:pPr>
        <w:widowControl w:val="0"/>
        <w:spacing w:before="100" w:line="288" w:lineRule="auto"/>
        <w:jc w:val="both"/>
        <w:rPr>
          <w:b/>
          <w:sz w:val="12"/>
          <w:szCs w:val="12"/>
        </w:rPr>
      </w:pPr>
    </w:p>
    <w:p w14:paraId="05D050FE" w14:textId="77777777" w:rsidR="008976ED" w:rsidRDefault="009F037A">
      <w:pPr>
        <w:widowControl w:val="0"/>
        <w:pBdr>
          <w:top w:val="nil"/>
          <w:left w:val="nil"/>
          <w:bottom w:val="nil"/>
          <w:right w:val="nil"/>
          <w:between w:val="nil"/>
        </w:pBdr>
        <w:spacing w:before="100" w:line="288" w:lineRule="auto"/>
        <w:jc w:val="both"/>
      </w:pPr>
      <w:r>
        <w:rPr>
          <w:b/>
        </w:rPr>
        <w:t xml:space="preserve">La tipología de centros comerciales ha aglutinado más del 55% de la inversión en el sector del </w:t>
      </w:r>
      <w:proofErr w:type="spellStart"/>
      <w:r>
        <w:rPr>
          <w:b/>
        </w:rPr>
        <w:t>Retail</w:t>
      </w:r>
      <w:proofErr w:type="spellEnd"/>
      <w:r>
        <w:rPr>
          <w:b/>
        </w:rPr>
        <w:t>,</w:t>
      </w:r>
      <w:r>
        <w:t xml:space="preserve"> destacando la compra de un centro en Madrid por parte de uno de los actores más activos del mercado, el fondo sudafricano </w:t>
      </w:r>
      <w:proofErr w:type="spellStart"/>
      <w:r>
        <w:t>Lighthouse</w:t>
      </w:r>
      <w:proofErr w:type="spellEnd"/>
      <w:r>
        <w:t>, por un impo</w:t>
      </w:r>
      <w:r>
        <w:t xml:space="preserve">rte de 121 millones de euros, la adquisición de un portfolio de tres centros ubicados en Cuenca, Alicante (Alcoy) y A Coruña por un volumen de 70 millones de euros, por parte de un grupo de inversores mexicanos y la venta de </w:t>
      </w:r>
      <w:proofErr w:type="spellStart"/>
      <w:r>
        <w:t>Equinocio</w:t>
      </w:r>
      <w:proofErr w:type="spellEnd"/>
      <w:r>
        <w:t>, en Majadahonda (Madr</w:t>
      </w:r>
      <w:r>
        <w:t xml:space="preserve">id) de </w:t>
      </w:r>
      <w:proofErr w:type="spellStart"/>
      <w:r>
        <w:t>Unibail</w:t>
      </w:r>
      <w:proofErr w:type="spellEnd"/>
      <w:r>
        <w:t xml:space="preserve"> </w:t>
      </w:r>
      <w:proofErr w:type="spellStart"/>
      <w:r>
        <w:t>Rodamco</w:t>
      </w:r>
      <w:proofErr w:type="spellEnd"/>
      <w:r>
        <w:t xml:space="preserve"> a un patrimonio valenciano (</w:t>
      </w:r>
      <w:proofErr w:type="spellStart"/>
      <w:r>
        <w:t>Atitlan</w:t>
      </w:r>
      <w:proofErr w:type="spellEnd"/>
      <w:r>
        <w:t>). Destaca también en el comienzo de año, la compra de una cartera europea de tiendas de Decathlon con una presencia importante en España. El volumen aproximado de los activos ubicados en España asc</w:t>
      </w:r>
      <w:r>
        <w:t xml:space="preserve">iende a 205 millones de euros. </w:t>
      </w:r>
    </w:p>
    <w:p w14:paraId="23BFCECE" w14:textId="77777777" w:rsidR="008976ED" w:rsidRDefault="008976ED">
      <w:pPr>
        <w:widowControl w:val="0"/>
        <w:spacing w:line="288" w:lineRule="auto"/>
        <w:jc w:val="both"/>
      </w:pPr>
    </w:p>
    <w:p w14:paraId="106D86F6" w14:textId="77777777" w:rsidR="008976ED" w:rsidRDefault="009F037A">
      <w:pPr>
        <w:widowControl w:val="0"/>
        <w:spacing w:line="288" w:lineRule="auto"/>
        <w:jc w:val="both"/>
      </w:pPr>
      <w:r>
        <w:rPr>
          <w:b/>
        </w:rPr>
        <w:t>En 2023, el stock de centros comerciales en España ascendía a 16,73 millones de metros cuadrados de superficie bruta alquilable (SBA). Actualmente se espera que la SBA supere los 17 millones de metros cuadrados con la apert</w:t>
      </w:r>
      <w:r>
        <w:rPr>
          <w:b/>
        </w:rPr>
        <w:t>ura de más de 20 nuevos activos a lo largo del 2024</w:t>
      </w:r>
      <w:r>
        <w:t xml:space="preserve">. Esto supone un aumento del 2,2% de la SBA respecto al 2022. Durante el año 2024 se espera que se entreguen más de 360.000 </w:t>
      </w:r>
      <w:r>
        <w:rPr>
          <w:color w:val="222222"/>
        </w:rPr>
        <w:t>m²</w:t>
      </w:r>
      <w:r>
        <w:t xml:space="preserve"> dedicados a centros comerciales por todo el territorio nacional. Entre las pro</w:t>
      </w:r>
      <w:r>
        <w:t xml:space="preserve">vincias con más aperturas, destaca Madrid con proyectos en Alcalá de Henares y en San Lorenzo del Escorial o en la ciudad de </w:t>
      </w:r>
      <w:r>
        <w:lastRenderedPageBreak/>
        <w:t>Santa Cruz de Tenerife con Adeje Shopping. También destaca el centro comercial La Rambla Shopping, en la ciudad de Cartagena, siend</w:t>
      </w:r>
      <w:r>
        <w:t xml:space="preserve">o el proyecto con mayor superficie (35,000 </w:t>
      </w:r>
      <w:r>
        <w:rPr>
          <w:color w:val="222222"/>
        </w:rPr>
        <w:t>m²</w:t>
      </w:r>
      <w:r>
        <w:t>).</w:t>
      </w:r>
    </w:p>
    <w:p w14:paraId="54DF41D7" w14:textId="77777777" w:rsidR="008976ED" w:rsidRDefault="008976ED">
      <w:pPr>
        <w:widowControl w:val="0"/>
        <w:spacing w:line="240" w:lineRule="auto"/>
        <w:jc w:val="center"/>
      </w:pPr>
    </w:p>
    <w:p w14:paraId="13EDB0F8" w14:textId="77777777" w:rsidR="008976ED" w:rsidRDefault="009F037A">
      <w:pPr>
        <w:widowControl w:val="0"/>
        <w:spacing w:line="192" w:lineRule="auto"/>
        <w:rPr>
          <w:b/>
          <w:color w:val="1D2C38"/>
        </w:rPr>
      </w:pPr>
      <w:r>
        <w:rPr>
          <w:b/>
          <w:color w:val="1D2C38"/>
        </w:rPr>
        <w:t>España crece mientras Europa se ralentiza</w:t>
      </w:r>
    </w:p>
    <w:p w14:paraId="20AAE819" w14:textId="77777777" w:rsidR="008976ED" w:rsidRDefault="008976ED">
      <w:pPr>
        <w:widowControl w:val="0"/>
        <w:spacing w:line="192" w:lineRule="auto"/>
        <w:rPr>
          <w:b/>
          <w:color w:val="1D2C38"/>
        </w:rPr>
      </w:pPr>
    </w:p>
    <w:p w14:paraId="5796BDEE" w14:textId="77777777" w:rsidR="008976ED" w:rsidRDefault="009F037A">
      <w:pPr>
        <w:widowControl w:val="0"/>
        <w:spacing w:line="288" w:lineRule="auto"/>
        <w:jc w:val="both"/>
      </w:pPr>
      <w:r>
        <w:t xml:space="preserve">En Europa, en los últimos 12 meses (Q2 2023 – Q1 2024) la inversión en el sector del </w:t>
      </w:r>
      <w:proofErr w:type="spellStart"/>
      <w:r>
        <w:t>retail</w:t>
      </w:r>
      <w:proofErr w:type="spellEnd"/>
      <w:r>
        <w:t xml:space="preserve"> se situó en 26.100 millones de euros, registrando un ajuste del 37% en e</w:t>
      </w:r>
      <w:r>
        <w:t>l último año. Gran parte de la inversión registrada se ha concentrado en los mercados centrales, ya que Alemania, el Reino Unido y Francia canalizaron más del 50% del volumen de transacciones.</w:t>
      </w:r>
    </w:p>
    <w:p w14:paraId="4D012BCD" w14:textId="77777777" w:rsidR="008976ED" w:rsidRDefault="008976ED">
      <w:pPr>
        <w:widowControl w:val="0"/>
        <w:spacing w:line="288" w:lineRule="auto"/>
        <w:jc w:val="both"/>
      </w:pPr>
    </w:p>
    <w:p w14:paraId="40FA373B" w14:textId="77777777" w:rsidR="008976ED" w:rsidRDefault="009F037A">
      <w:pPr>
        <w:widowControl w:val="0"/>
        <w:pBdr>
          <w:top w:val="nil"/>
          <w:left w:val="nil"/>
          <w:bottom w:val="nil"/>
          <w:right w:val="nil"/>
          <w:between w:val="nil"/>
        </w:pBdr>
        <w:spacing w:line="288" w:lineRule="auto"/>
        <w:jc w:val="both"/>
      </w:pPr>
      <w:r>
        <w:t>A pesar de este ajuste de la inversión, que ha sido genérico d</w:t>
      </w:r>
      <w:r>
        <w:t xml:space="preserve">entro del inmobiliario, la cuota de mercado del </w:t>
      </w:r>
      <w:proofErr w:type="spellStart"/>
      <w:r>
        <w:t>Retail</w:t>
      </w:r>
      <w:proofErr w:type="spellEnd"/>
      <w:r>
        <w:t xml:space="preserve"> se ha incrementado levemente, hasta situarse en el 19%. En algunos países, durante los 12 últimos meses, el peso de la inversión en </w:t>
      </w:r>
      <w:proofErr w:type="spellStart"/>
      <w:r>
        <w:t>Retail</w:t>
      </w:r>
      <w:proofErr w:type="spellEnd"/>
      <w:r>
        <w:t xml:space="preserve"> dentro del inmobiliario se ha incrementado notablemente. En Al</w:t>
      </w:r>
      <w:r>
        <w:t xml:space="preserve">emania, los inversores asignaron casi tanto capital al </w:t>
      </w:r>
      <w:proofErr w:type="spellStart"/>
      <w:r>
        <w:t>retail</w:t>
      </w:r>
      <w:proofErr w:type="spellEnd"/>
      <w:r>
        <w:t xml:space="preserve"> (26%) como a la logística (28%) y, por primera vez, se sitúa incluso por delante de las oficinas (23%). En España, el sector del </w:t>
      </w:r>
      <w:proofErr w:type="spellStart"/>
      <w:r>
        <w:t>Retail</w:t>
      </w:r>
      <w:proofErr w:type="spellEnd"/>
      <w:r>
        <w:t xml:space="preserve"> es el segundo más importante para los inversores después d</w:t>
      </w:r>
      <w:r>
        <w:t xml:space="preserve">el hotelero, con un 24% del total. </w:t>
      </w:r>
    </w:p>
    <w:p w14:paraId="5A25B184" w14:textId="77777777" w:rsidR="008976ED" w:rsidRDefault="008976ED">
      <w:pPr>
        <w:widowControl w:val="0"/>
        <w:pBdr>
          <w:top w:val="nil"/>
          <w:left w:val="nil"/>
          <w:bottom w:val="nil"/>
          <w:right w:val="nil"/>
          <w:between w:val="nil"/>
        </w:pBdr>
        <w:spacing w:line="288" w:lineRule="auto"/>
        <w:jc w:val="both"/>
      </w:pPr>
    </w:p>
    <w:p w14:paraId="7318020C" w14:textId="77777777" w:rsidR="008976ED" w:rsidRDefault="009F037A">
      <w:pPr>
        <w:widowControl w:val="0"/>
        <w:pBdr>
          <w:top w:val="nil"/>
          <w:left w:val="nil"/>
          <w:bottom w:val="nil"/>
          <w:right w:val="nil"/>
          <w:between w:val="nil"/>
        </w:pBdr>
        <w:spacing w:line="288" w:lineRule="auto"/>
        <w:jc w:val="both"/>
        <w:rPr>
          <w:sz w:val="28"/>
          <w:szCs w:val="28"/>
        </w:rPr>
      </w:pPr>
      <w:r>
        <w:t xml:space="preserve">Las bajas cifras de inversión registradas durante los últimos doce meses, y como consecuencia de la subida de tipos de interés, chocan con un mercado de ocupación muy fuerte. </w:t>
      </w:r>
    </w:p>
    <w:p w14:paraId="7B13722E" w14:textId="77777777" w:rsidR="008976ED" w:rsidRDefault="009F037A">
      <w:pPr>
        <w:shd w:val="clear" w:color="auto" w:fill="FFFFFF"/>
        <w:jc w:val="both"/>
        <w:rPr>
          <w:sz w:val="20"/>
          <w:szCs w:val="20"/>
        </w:rPr>
      </w:pPr>
      <w:r>
        <w:rPr>
          <w:noProof/>
        </w:rPr>
        <mc:AlternateContent>
          <mc:Choice Requires="wpg">
            <w:drawing>
              <wp:anchor distT="0" distB="0" distL="114300" distR="114300" simplePos="0" relativeHeight="251659264" behindDoc="0" locked="0" layoutInCell="1" hidden="0" allowOverlap="1" wp14:anchorId="08F288C0" wp14:editId="5B74F561">
                <wp:simplePos x="0" y="0"/>
                <wp:positionH relativeFrom="column">
                  <wp:posOffset>-3543299</wp:posOffset>
                </wp:positionH>
                <wp:positionV relativeFrom="paragraph">
                  <wp:posOffset>76200</wp:posOffset>
                </wp:positionV>
                <wp:extent cx="9663113" cy="3524250"/>
                <wp:effectExtent l="0" t="0" r="0" b="0"/>
                <wp:wrapNone/>
                <wp:docPr id="1681942881" name=""/>
                <wp:cNvGraphicFramePr/>
                <a:graphic xmlns:a="http://schemas.openxmlformats.org/drawingml/2006/main">
                  <a:graphicData uri="http://schemas.microsoft.com/office/word/2010/wordprocessingGroup">
                    <wpg:wgp>
                      <wpg:cNvGrpSpPr/>
                      <wpg:grpSpPr>
                        <a:xfrm>
                          <a:off x="0" y="0"/>
                          <a:ext cx="9663113" cy="3524250"/>
                          <a:chOff x="514425" y="2017875"/>
                          <a:chExt cx="9663150" cy="3524250"/>
                        </a:xfrm>
                      </wpg:grpSpPr>
                      <wpg:grpSp>
                        <wpg:cNvPr id="1" name="Grupo 1"/>
                        <wpg:cNvGrpSpPr/>
                        <wpg:grpSpPr>
                          <a:xfrm>
                            <a:off x="514444" y="2017875"/>
                            <a:ext cx="9663113" cy="3524250"/>
                            <a:chOff x="563475" y="2017875"/>
                            <a:chExt cx="9565050" cy="3524250"/>
                          </a:xfrm>
                        </wpg:grpSpPr>
                        <wps:wsp>
                          <wps:cNvPr id="2" name="Rectángulo 2"/>
                          <wps:cNvSpPr/>
                          <wps:spPr>
                            <a:xfrm>
                              <a:off x="563475" y="2017875"/>
                              <a:ext cx="9565050" cy="3524250"/>
                            </a:xfrm>
                            <a:prstGeom prst="rect">
                              <a:avLst/>
                            </a:prstGeom>
                            <a:noFill/>
                            <a:ln>
                              <a:noFill/>
                            </a:ln>
                          </wps:spPr>
                          <wps:txbx>
                            <w:txbxContent>
                              <w:p w14:paraId="580499D0" w14:textId="77777777" w:rsidR="008976ED" w:rsidRDefault="008976ED">
                                <w:pPr>
                                  <w:spacing w:line="240" w:lineRule="auto"/>
                                  <w:textDirection w:val="btLr"/>
                                </w:pPr>
                              </w:p>
                            </w:txbxContent>
                          </wps:txbx>
                          <wps:bodyPr spcFirstLastPara="1" wrap="square" lIns="91425" tIns="91425" rIns="91425" bIns="91425" anchor="ctr" anchorCtr="0">
                            <a:noAutofit/>
                          </wps:bodyPr>
                        </wps:wsp>
                        <wpg:grpSp>
                          <wpg:cNvPr id="3" name="Grupo 3"/>
                          <wpg:cNvGrpSpPr/>
                          <wpg:grpSpPr>
                            <a:xfrm>
                              <a:off x="563498" y="2017875"/>
                              <a:ext cx="9565005" cy="3524250"/>
                              <a:chOff x="563475" y="2017875"/>
                              <a:chExt cx="9565050" cy="3524250"/>
                            </a:xfrm>
                          </wpg:grpSpPr>
                          <wps:wsp>
                            <wps:cNvPr id="4" name="Rectángulo 4"/>
                            <wps:cNvSpPr/>
                            <wps:spPr>
                              <a:xfrm>
                                <a:off x="563475" y="2017875"/>
                                <a:ext cx="9565050" cy="3524250"/>
                              </a:xfrm>
                              <a:prstGeom prst="rect">
                                <a:avLst/>
                              </a:prstGeom>
                              <a:noFill/>
                              <a:ln>
                                <a:noFill/>
                              </a:ln>
                            </wps:spPr>
                            <wps:txbx>
                              <w:txbxContent>
                                <w:p w14:paraId="2C911A43" w14:textId="77777777" w:rsidR="008976ED" w:rsidRDefault="008976ED">
                                  <w:pPr>
                                    <w:spacing w:line="240" w:lineRule="auto"/>
                                    <w:textDirection w:val="btLr"/>
                                  </w:pPr>
                                </w:p>
                              </w:txbxContent>
                            </wps:txbx>
                            <wps:bodyPr spcFirstLastPara="1" wrap="square" lIns="91425" tIns="91425" rIns="91425" bIns="91425" anchor="ctr" anchorCtr="0">
                              <a:noAutofit/>
                            </wps:bodyPr>
                          </wps:wsp>
                          <wpg:grpSp>
                            <wpg:cNvPr id="5" name="Grupo 5"/>
                            <wpg:cNvGrpSpPr/>
                            <wpg:grpSpPr>
                              <a:xfrm>
                                <a:off x="563498" y="2017875"/>
                                <a:ext cx="9565005" cy="3524250"/>
                                <a:chOff x="563475" y="2017875"/>
                                <a:chExt cx="9565050" cy="3524250"/>
                              </a:xfrm>
                            </wpg:grpSpPr>
                            <wps:wsp>
                              <wps:cNvPr id="6" name="Rectángulo 6"/>
                              <wps:cNvSpPr/>
                              <wps:spPr>
                                <a:xfrm>
                                  <a:off x="563475" y="2017875"/>
                                  <a:ext cx="9565050" cy="3524250"/>
                                </a:xfrm>
                                <a:prstGeom prst="rect">
                                  <a:avLst/>
                                </a:prstGeom>
                                <a:noFill/>
                                <a:ln>
                                  <a:noFill/>
                                </a:ln>
                              </wps:spPr>
                              <wps:txbx>
                                <w:txbxContent>
                                  <w:p w14:paraId="58B2DE8B" w14:textId="77777777" w:rsidR="008976ED" w:rsidRDefault="008976ED">
                                    <w:pPr>
                                      <w:spacing w:line="240" w:lineRule="auto"/>
                                      <w:textDirection w:val="btLr"/>
                                    </w:pPr>
                                  </w:p>
                                </w:txbxContent>
                              </wps:txbx>
                              <wps:bodyPr spcFirstLastPara="1" wrap="square" lIns="91425" tIns="91425" rIns="91425" bIns="91425" anchor="ctr" anchorCtr="0">
                                <a:noAutofit/>
                              </wps:bodyPr>
                            </wps:wsp>
                            <wpg:grpSp>
                              <wpg:cNvPr id="7" name="Grupo 7"/>
                              <wpg:cNvGrpSpPr/>
                              <wpg:grpSpPr>
                                <a:xfrm>
                                  <a:off x="563498" y="2017875"/>
                                  <a:ext cx="9565005" cy="3524250"/>
                                  <a:chOff x="563475" y="2017875"/>
                                  <a:chExt cx="9565050" cy="3524250"/>
                                </a:xfrm>
                              </wpg:grpSpPr>
                              <wps:wsp>
                                <wps:cNvPr id="8" name="Rectángulo 8"/>
                                <wps:cNvSpPr/>
                                <wps:spPr>
                                  <a:xfrm>
                                    <a:off x="563475" y="2017875"/>
                                    <a:ext cx="9565050" cy="3524250"/>
                                  </a:xfrm>
                                  <a:prstGeom prst="rect">
                                    <a:avLst/>
                                  </a:prstGeom>
                                  <a:noFill/>
                                  <a:ln>
                                    <a:noFill/>
                                  </a:ln>
                                </wps:spPr>
                                <wps:txbx>
                                  <w:txbxContent>
                                    <w:p w14:paraId="4A8BB865" w14:textId="77777777" w:rsidR="008976ED" w:rsidRDefault="008976ED">
                                      <w:pPr>
                                        <w:spacing w:line="240" w:lineRule="auto"/>
                                        <w:textDirection w:val="btLr"/>
                                      </w:pPr>
                                    </w:p>
                                  </w:txbxContent>
                                </wps:txbx>
                                <wps:bodyPr spcFirstLastPara="1" wrap="square" lIns="91425" tIns="91425" rIns="91425" bIns="91425" anchor="ctr" anchorCtr="0">
                                  <a:noAutofit/>
                                </wps:bodyPr>
                              </wps:wsp>
                              <wpg:grpSp>
                                <wpg:cNvPr id="9" name="Grupo 9"/>
                                <wpg:cNvGrpSpPr/>
                                <wpg:grpSpPr>
                                  <a:xfrm>
                                    <a:off x="563498" y="2017875"/>
                                    <a:ext cx="9565005" cy="3524250"/>
                                    <a:chOff x="585750" y="2017475"/>
                                    <a:chExt cx="9520500" cy="3525050"/>
                                  </a:xfrm>
                                </wpg:grpSpPr>
                                <wps:wsp>
                                  <wps:cNvPr id="10" name="Rectángulo 10"/>
                                  <wps:cNvSpPr/>
                                  <wps:spPr>
                                    <a:xfrm>
                                      <a:off x="585750" y="2017475"/>
                                      <a:ext cx="9520500" cy="3525050"/>
                                    </a:xfrm>
                                    <a:prstGeom prst="rect">
                                      <a:avLst/>
                                    </a:prstGeom>
                                    <a:noFill/>
                                    <a:ln>
                                      <a:noFill/>
                                    </a:ln>
                                  </wps:spPr>
                                  <wps:txbx>
                                    <w:txbxContent>
                                      <w:p w14:paraId="15755218" w14:textId="77777777" w:rsidR="008976ED" w:rsidRDefault="008976ED">
                                        <w:pPr>
                                          <w:spacing w:line="240" w:lineRule="auto"/>
                                          <w:textDirection w:val="btLr"/>
                                        </w:pPr>
                                      </w:p>
                                    </w:txbxContent>
                                  </wps:txbx>
                                  <wps:bodyPr spcFirstLastPara="1" wrap="square" lIns="91425" tIns="91425" rIns="91425" bIns="91425" anchor="ctr" anchorCtr="0">
                                    <a:noAutofit/>
                                  </wps:bodyPr>
                                </wps:wsp>
                                <wpg:grpSp>
                                  <wpg:cNvPr id="11" name="Grupo 11"/>
                                  <wpg:cNvGrpSpPr/>
                                  <wpg:grpSpPr>
                                    <a:xfrm>
                                      <a:off x="585772" y="2017481"/>
                                      <a:ext cx="9520456" cy="3525039"/>
                                      <a:chOff x="585750" y="2017475"/>
                                      <a:chExt cx="9520500" cy="3525050"/>
                                    </a:xfrm>
                                  </wpg:grpSpPr>
                                  <wps:wsp>
                                    <wps:cNvPr id="12" name="Rectángulo 12"/>
                                    <wps:cNvSpPr/>
                                    <wps:spPr>
                                      <a:xfrm>
                                        <a:off x="585750" y="2017475"/>
                                        <a:ext cx="9520500" cy="3525050"/>
                                      </a:xfrm>
                                      <a:prstGeom prst="rect">
                                        <a:avLst/>
                                      </a:prstGeom>
                                      <a:noFill/>
                                      <a:ln>
                                        <a:noFill/>
                                      </a:ln>
                                    </wps:spPr>
                                    <wps:txbx>
                                      <w:txbxContent>
                                        <w:p w14:paraId="01763C40" w14:textId="77777777" w:rsidR="008976ED" w:rsidRDefault="008976ED">
                                          <w:pPr>
                                            <w:spacing w:line="240" w:lineRule="auto"/>
                                            <w:textDirection w:val="btLr"/>
                                          </w:pPr>
                                        </w:p>
                                      </w:txbxContent>
                                    </wps:txbx>
                                    <wps:bodyPr spcFirstLastPara="1" wrap="square" lIns="91425" tIns="91425" rIns="91425" bIns="91425" anchor="ctr" anchorCtr="0">
                                      <a:noAutofit/>
                                    </wps:bodyPr>
                                  </wps:wsp>
                                  <wpg:grpSp>
                                    <wpg:cNvPr id="13" name="Grupo 13"/>
                                    <wpg:cNvGrpSpPr/>
                                    <wpg:grpSpPr>
                                      <a:xfrm>
                                        <a:off x="585772" y="2017481"/>
                                        <a:ext cx="9520456" cy="3525039"/>
                                        <a:chOff x="585750" y="2017475"/>
                                        <a:chExt cx="9520500" cy="3525050"/>
                                      </a:xfrm>
                                    </wpg:grpSpPr>
                                    <wps:wsp>
                                      <wps:cNvPr id="14" name="Rectángulo 14"/>
                                      <wps:cNvSpPr/>
                                      <wps:spPr>
                                        <a:xfrm>
                                          <a:off x="585750" y="2017475"/>
                                          <a:ext cx="9520500" cy="3525050"/>
                                        </a:xfrm>
                                        <a:prstGeom prst="rect">
                                          <a:avLst/>
                                        </a:prstGeom>
                                        <a:noFill/>
                                        <a:ln>
                                          <a:noFill/>
                                        </a:ln>
                                      </wps:spPr>
                                      <wps:txbx>
                                        <w:txbxContent>
                                          <w:p w14:paraId="778C5627" w14:textId="77777777" w:rsidR="008976ED" w:rsidRDefault="008976ED">
                                            <w:pPr>
                                              <w:spacing w:line="240" w:lineRule="auto"/>
                                              <w:textDirection w:val="btLr"/>
                                            </w:pPr>
                                          </w:p>
                                        </w:txbxContent>
                                      </wps:txbx>
                                      <wps:bodyPr spcFirstLastPara="1" wrap="square" lIns="91425" tIns="91425" rIns="91425" bIns="91425" anchor="ctr" anchorCtr="0">
                                        <a:noAutofit/>
                                      </wps:bodyPr>
                                    </wps:wsp>
                                    <wpg:grpSp>
                                      <wpg:cNvPr id="15" name="Grupo 15"/>
                                      <wpg:cNvGrpSpPr/>
                                      <wpg:grpSpPr>
                                        <a:xfrm>
                                          <a:off x="585772" y="2017481"/>
                                          <a:ext cx="9520456" cy="3525039"/>
                                          <a:chOff x="585750" y="2017475"/>
                                          <a:chExt cx="9520500" cy="3525050"/>
                                        </a:xfrm>
                                      </wpg:grpSpPr>
                                      <wps:wsp>
                                        <wps:cNvPr id="16" name="Rectángulo 16"/>
                                        <wps:cNvSpPr/>
                                        <wps:spPr>
                                          <a:xfrm>
                                            <a:off x="585750" y="2017475"/>
                                            <a:ext cx="9520500" cy="3525050"/>
                                          </a:xfrm>
                                          <a:prstGeom prst="rect">
                                            <a:avLst/>
                                          </a:prstGeom>
                                          <a:noFill/>
                                          <a:ln>
                                            <a:noFill/>
                                          </a:ln>
                                        </wps:spPr>
                                        <wps:txbx>
                                          <w:txbxContent>
                                            <w:p w14:paraId="5C8500D4" w14:textId="77777777" w:rsidR="008976ED" w:rsidRDefault="008976ED">
                                              <w:pPr>
                                                <w:spacing w:line="240" w:lineRule="auto"/>
                                                <w:textDirection w:val="btLr"/>
                                              </w:pPr>
                                            </w:p>
                                          </w:txbxContent>
                                        </wps:txbx>
                                        <wps:bodyPr spcFirstLastPara="1" wrap="square" lIns="91425" tIns="91425" rIns="91425" bIns="91425" anchor="ctr" anchorCtr="0">
                                          <a:noAutofit/>
                                        </wps:bodyPr>
                                      </wps:wsp>
                                      <wpg:grpSp>
                                        <wpg:cNvPr id="17" name="Grupo 17"/>
                                        <wpg:cNvGrpSpPr/>
                                        <wpg:grpSpPr>
                                          <a:xfrm>
                                            <a:off x="585772" y="2017481"/>
                                            <a:ext cx="9520456" cy="3525039"/>
                                            <a:chOff x="585750" y="2017475"/>
                                            <a:chExt cx="9520500" cy="3525050"/>
                                          </a:xfrm>
                                        </wpg:grpSpPr>
                                        <wps:wsp>
                                          <wps:cNvPr id="18" name="Rectángulo 18"/>
                                          <wps:cNvSpPr/>
                                          <wps:spPr>
                                            <a:xfrm>
                                              <a:off x="585750" y="2017475"/>
                                              <a:ext cx="9520500" cy="3525050"/>
                                            </a:xfrm>
                                            <a:prstGeom prst="rect">
                                              <a:avLst/>
                                            </a:prstGeom>
                                            <a:noFill/>
                                            <a:ln>
                                              <a:noFill/>
                                            </a:ln>
                                          </wps:spPr>
                                          <wps:txbx>
                                            <w:txbxContent>
                                              <w:p w14:paraId="72C20102" w14:textId="77777777" w:rsidR="008976ED" w:rsidRDefault="008976ED">
                                                <w:pPr>
                                                  <w:spacing w:line="240" w:lineRule="auto"/>
                                                  <w:textDirection w:val="btLr"/>
                                                </w:pPr>
                                              </w:p>
                                            </w:txbxContent>
                                          </wps:txbx>
                                          <wps:bodyPr spcFirstLastPara="1" wrap="square" lIns="91425" tIns="91425" rIns="91425" bIns="91425" anchor="ctr" anchorCtr="0">
                                            <a:noAutofit/>
                                          </wps:bodyPr>
                                        </wps:wsp>
                                        <wpg:grpSp>
                                          <wpg:cNvPr id="19" name="Grupo 19"/>
                                          <wpg:cNvGrpSpPr/>
                                          <wpg:grpSpPr>
                                            <a:xfrm>
                                              <a:off x="585772" y="2017481"/>
                                              <a:ext cx="9520456" cy="3525039"/>
                                              <a:chOff x="585750" y="2021900"/>
                                              <a:chExt cx="9525250" cy="3520950"/>
                                            </a:xfrm>
                                          </wpg:grpSpPr>
                                          <wps:wsp>
                                            <wps:cNvPr id="20" name="Rectángulo 20"/>
                                            <wps:cNvSpPr/>
                                            <wps:spPr>
                                              <a:xfrm>
                                                <a:off x="585750" y="2021900"/>
                                                <a:ext cx="9525250" cy="3520950"/>
                                              </a:xfrm>
                                              <a:prstGeom prst="rect">
                                                <a:avLst/>
                                              </a:prstGeom>
                                              <a:noFill/>
                                              <a:ln>
                                                <a:noFill/>
                                              </a:ln>
                                            </wps:spPr>
                                            <wps:txbx>
                                              <w:txbxContent>
                                                <w:p w14:paraId="79F5BCE1" w14:textId="77777777" w:rsidR="008976ED" w:rsidRDefault="008976ED">
                                                  <w:pPr>
                                                    <w:spacing w:line="240" w:lineRule="auto"/>
                                                    <w:textDirection w:val="btLr"/>
                                                  </w:pPr>
                                                </w:p>
                                              </w:txbxContent>
                                            </wps:txbx>
                                            <wps:bodyPr spcFirstLastPara="1" wrap="square" lIns="91425" tIns="91425" rIns="91425" bIns="91425" anchor="ctr" anchorCtr="0">
                                              <a:noAutofit/>
                                            </wps:bodyPr>
                                          </wps:wsp>
                                          <wpg:grpSp>
                                            <wpg:cNvPr id="21" name="Grupo 21"/>
                                            <wpg:cNvGrpSpPr/>
                                            <wpg:grpSpPr>
                                              <a:xfrm>
                                                <a:off x="585772" y="2021916"/>
                                                <a:ext cx="9520456" cy="3516169"/>
                                                <a:chOff x="-2704045" y="227641"/>
                                                <a:chExt cx="11944027" cy="4919779"/>
                                              </a:xfrm>
                                            </wpg:grpSpPr>
                                            <wps:wsp>
                                              <wps:cNvPr id="22" name="Rectángulo 22"/>
                                              <wps:cNvSpPr/>
                                              <wps:spPr>
                                                <a:xfrm>
                                                  <a:off x="-2704045" y="227641"/>
                                                  <a:ext cx="11944025" cy="4919775"/>
                                                </a:xfrm>
                                                <a:prstGeom prst="rect">
                                                  <a:avLst/>
                                                </a:prstGeom>
                                                <a:noFill/>
                                                <a:ln>
                                                  <a:noFill/>
                                                </a:ln>
                                              </wps:spPr>
                                              <wps:txbx>
                                                <w:txbxContent>
                                                  <w:p w14:paraId="5CF8DBBF" w14:textId="77777777" w:rsidR="008976ED" w:rsidRDefault="008976ED">
                                                    <w:pPr>
                                                      <w:spacing w:line="240" w:lineRule="auto"/>
                                                      <w:textDirection w:val="btLr"/>
                                                    </w:pPr>
                                                  </w:p>
                                                </w:txbxContent>
                                              </wps:txbx>
                                              <wps:bodyPr spcFirstLastPara="1" wrap="square" lIns="91425" tIns="91425" rIns="91425" bIns="91425" anchor="ctr" anchorCtr="0">
                                                <a:noAutofit/>
                                              </wps:bodyPr>
                                            </wps:wsp>
                                            <wps:wsp>
                                              <wps:cNvPr id="23" name="Rectángulo 23"/>
                                              <wps:cNvSpPr/>
                                              <wps:spPr>
                                                <a:xfrm>
                                                  <a:off x="-2704045" y="227641"/>
                                                  <a:ext cx="6478299" cy="2676575"/>
                                                </a:xfrm>
                                                <a:prstGeom prst="rect">
                                                  <a:avLst/>
                                                </a:prstGeom>
                                                <a:noFill/>
                                                <a:ln>
                                                  <a:noFill/>
                                                </a:ln>
                                              </wps:spPr>
                                              <wps:txbx>
                                                <w:txbxContent>
                                                  <w:p w14:paraId="40D5F7BB" w14:textId="77777777" w:rsidR="008976ED" w:rsidRDefault="008976ED">
                                                    <w:pPr>
                                                      <w:spacing w:line="240" w:lineRule="auto"/>
                                                      <w:textDirection w:val="btLr"/>
                                                    </w:pPr>
                                                  </w:p>
                                                </w:txbxContent>
                                              </wps:txbx>
                                              <wps:bodyPr spcFirstLastPara="1" wrap="square" lIns="91425" tIns="91425" rIns="91425" bIns="91425" anchor="ctr" anchorCtr="0">
                                                <a:noAutofit/>
                                              </wps:bodyPr>
                                            </wps:wsp>
                                            <wpg:grpSp>
                                              <wpg:cNvPr id="24" name="Grupo 24"/>
                                              <wpg:cNvGrpSpPr/>
                                              <wpg:grpSpPr>
                                                <a:xfrm>
                                                  <a:off x="1645775" y="734938"/>
                                                  <a:ext cx="7594207" cy="4412482"/>
                                                  <a:chOff x="1648196" y="579707"/>
                                                  <a:chExt cx="7605378" cy="3474254"/>
                                                </a:xfrm>
                                              </wpg:grpSpPr>
                                              <wps:wsp>
                                                <wps:cNvPr id="25" name="Rectángulo 25"/>
                                                <wps:cNvSpPr/>
                                                <wps:spPr>
                                                  <a:xfrm>
                                                    <a:off x="1648196" y="579707"/>
                                                    <a:ext cx="7605378" cy="3474254"/>
                                                  </a:xfrm>
                                                  <a:prstGeom prst="rect">
                                                    <a:avLst/>
                                                  </a:prstGeom>
                                                  <a:noFill/>
                                                  <a:ln w="9525" cap="flat" cmpd="sng">
                                                    <a:solidFill>
                                                      <a:schemeClr val="dk1"/>
                                                    </a:solidFill>
                                                    <a:prstDash val="dash"/>
                                                    <a:round/>
                                                    <a:headEnd type="none" w="sm" len="sm"/>
                                                    <a:tailEnd type="none" w="sm" len="sm"/>
                                                  </a:ln>
                                                </wps:spPr>
                                                <wps:txbx>
                                                  <w:txbxContent>
                                                    <w:p w14:paraId="3399C28A" w14:textId="77777777" w:rsidR="008976ED" w:rsidRDefault="009F037A">
                                                      <w:pPr>
                                                        <w:spacing w:after="160" w:line="240" w:lineRule="auto"/>
                                                        <w:textDirection w:val="btLr"/>
                                                      </w:pPr>
                                                      <w:r>
                                                        <w:rPr>
                                                          <w:rFonts w:ascii="Calibri" w:eastAsia="Calibri" w:hAnsi="Calibri" w:cs="Calibri"/>
                                                          <w:b/>
                                                          <w:color w:val="004231"/>
                                                          <w:sz w:val="18"/>
                                                        </w:rPr>
                                                        <w:t xml:space="preserve">Sobre BNP </w:t>
                                                      </w:r>
                                                      <w:proofErr w:type="spellStart"/>
                                                      <w:r>
                                                        <w:rPr>
                                                          <w:rFonts w:ascii="Calibri" w:eastAsia="Calibri" w:hAnsi="Calibri" w:cs="Calibri"/>
                                                          <w:b/>
                                                          <w:color w:val="004231"/>
                                                          <w:sz w:val="18"/>
                                                        </w:rPr>
                                                        <w:t>Paribas</w:t>
                                                      </w:r>
                                                      <w:proofErr w:type="spellEnd"/>
                                                      <w:r>
                                                        <w:rPr>
                                                          <w:rFonts w:ascii="Calibri" w:eastAsia="Calibri" w:hAnsi="Calibri" w:cs="Calibri"/>
                                                          <w:b/>
                                                          <w:color w:val="004231"/>
                                                          <w:sz w:val="18"/>
                                                        </w:rPr>
                                                        <w:t xml:space="preserve"> Real Estate</w:t>
                                                      </w:r>
                                                    </w:p>
                                                    <w:p w14:paraId="2CC9075E" w14:textId="77777777" w:rsidR="008976ED" w:rsidRDefault="009F037A">
                                                      <w:pPr>
                                                        <w:spacing w:after="160" w:line="273" w:lineRule="auto"/>
                                                        <w:jc w:val="both"/>
                                                        <w:textDirection w:val="btLr"/>
                                                      </w:pPr>
                                                      <w:r>
                                                        <w:rPr>
                                                          <w:rFonts w:ascii="Calibri" w:eastAsia="Calibri" w:hAnsi="Calibri" w:cs="Calibri"/>
                                                          <w:color w:val="808080"/>
                                                          <w:sz w:val="16"/>
                                                        </w:rPr>
                                                        <w:t xml:space="preserve">BNP </w:t>
                                                      </w:r>
                                                      <w:proofErr w:type="spellStart"/>
                                                      <w:r>
                                                        <w:rPr>
                                                          <w:rFonts w:ascii="Calibri" w:eastAsia="Calibri" w:hAnsi="Calibri" w:cs="Calibri"/>
                                                          <w:color w:val="808080"/>
                                                          <w:sz w:val="16"/>
                                                        </w:rPr>
                                                        <w:t>Paribas</w:t>
                                                      </w:r>
                                                      <w:proofErr w:type="spellEnd"/>
                                                      <w:r>
                                                        <w:rPr>
                                                          <w:rFonts w:ascii="Calibri" w:eastAsia="Calibri" w:hAnsi="Calibri" w:cs="Calibri"/>
                                                          <w:color w:val="808080"/>
                                                          <w:sz w:val="16"/>
                                                        </w:rPr>
                                                        <w:t xml:space="preserve"> Real Estate, una de las principales consultoras de servicios inmobiliarios a nivel internacional, ofrece a sus clientes una amplia línea de servicios que abarcan todas las etapas del ciclo inmobiliario: Promoción, </w:t>
                                                      </w:r>
                                                      <w:r>
                                                        <w:rPr>
                                                          <w:rFonts w:ascii="Calibri" w:eastAsia="Calibri" w:hAnsi="Calibri" w:cs="Calibri"/>
                                                          <w:color w:val="808080"/>
                                                          <w:sz w:val="16"/>
                                                        </w:rPr>
                                                        <w:t xml:space="preserve">Transacción, Consultoría, Valoración, Gestión de la Propiedad y Gestión de la Inversión. Con 5.000 empleados, BNP </w:t>
                                                      </w:r>
                                                      <w:proofErr w:type="spellStart"/>
                                                      <w:r>
                                                        <w:rPr>
                                                          <w:rFonts w:ascii="Calibri" w:eastAsia="Calibri" w:hAnsi="Calibri" w:cs="Calibri"/>
                                                          <w:color w:val="808080"/>
                                                          <w:sz w:val="16"/>
                                                        </w:rPr>
                                                        <w:t>Paribas</w:t>
                                                      </w:r>
                                                      <w:proofErr w:type="spellEnd"/>
                                                      <w:r>
                                                        <w:rPr>
                                                          <w:rFonts w:ascii="Calibri" w:eastAsia="Calibri" w:hAnsi="Calibri" w:cs="Calibri"/>
                                                          <w:color w:val="808080"/>
                                                          <w:sz w:val="16"/>
                                                        </w:rPr>
                                                        <w:t xml:space="preserve"> Real Estate, como consultora de servicios integrales, apoya a propietarios, arrendatarios, inversores y comunidades gracias a su exper</w:t>
                                                      </w:r>
                                                      <w:r>
                                                        <w:rPr>
                                                          <w:rFonts w:ascii="Calibri" w:eastAsia="Calibri" w:hAnsi="Calibri" w:cs="Calibri"/>
                                                          <w:color w:val="808080"/>
                                                          <w:sz w:val="16"/>
                                                        </w:rPr>
                                                        <w:t xml:space="preserve">iencia local en 24 países (a través de sus oficinas propias y su red de alianzas) en Europa, Oriente Medio y Asia. BNP </w:t>
                                                      </w:r>
                                                      <w:proofErr w:type="spellStart"/>
                                                      <w:r>
                                                        <w:rPr>
                                                          <w:rFonts w:ascii="Calibri" w:eastAsia="Calibri" w:hAnsi="Calibri" w:cs="Calibri"/>
                                                          <w:color w:val="808080"/>
                                                          <w:sz w:val="16"/>
                                                        </w:rPr>
                                                        <w:t>Paribas</w:t>
                                                      </w:r>
                                                      <w:proofErr w:type="spellEnd"/>
                                                      <w:r>
                                                        <w:rPr>
                                                          <w:rFonts w:ascii="Calibri" w:eastAsia="Calibri" w:hAnsi="Calibri" w:cs="Calibri"/>
                                                          <w:color w:val="808080"/>
                                                          <w:sz w:val="16"/>
                                                        </w:rPr>
                                                        <w:t xml:space="preserve"> Real Estate forma parte del BNP </w:t>
                                                      </w:r>
                                                      <w:proofErr w:type="spellStart"/>
                                                      <w:r>
                                                        <w:rPr>
                                                          <w:rFonts w:ascii="Calibri" w:eastAsia="Calibri" w:hAnsi="Calibri" w:cs="Calibri"/>
                                                          <w:color w:val="808080"/>
                                                          <w:sz w:val="16"/>
                                                        </w:rPr>
                                                        <w:t>Paribas</w:t>
                                                      </w:r>
                                                      <w:proofErr w:type="spellEnd"/>
                                                      <w:r>
                                                        <w:rPr>
                                                          <w:rFonts w:ascii="Calibri" w:eastAsia="Calibri" w:hAnsi="Calibri" w:cs="Calibri"/>
                                                          <w:color w:val="808080"/>
                                                          <w:sz w:val="16"/>
                                                        </w:rPr>
                                                        <w:t xml:space="preserve"> </w:t>
                                                      </w:r>
                                                      <w:proofErr w:type="spellStart"/>
                                                      <w:r>
                                                        <w:rPr>
                                                          <w:rFonts w:ascii="Calibri" w:eastAsia="Calibri" w:hAnsi="Calibri" w:cs="Calibri"/>
                                                          <w:color w:val="808080"/>
                                                          <w:sz w:val="16"/>
                                                        </w:rPr>
                                                        <w:t>Group</w:t>
                                                      </w:r>
                                                      <w:proofErr w:type="spellEnd"/>
                                                      <w:r>
                                                        <w:rPr>
                                                          <w:rFonts w:ascii="Calibri" w:eastAsia="Calibri" w:hAnsi="Calibri" w:cs="Calibri"/>
                                                          <w:color w:val="808080"/>
                                                          <w:sz w:val="16"/>
                                                        </w:rPr>
                                                        <w:t>, líder mundial en servicios financieros.</w:t>
                                                      </w:r>
                                                    </w:p>
                                                    <w:p w14:paraId="372C75D1" w14:textId="77777777" w:rsidR="008976ED" w:rsidRDefault="009F037A">
                                                      <w:pPr>
                                                        <w:spacing w:after="160" w:line="273" w:lineRule="auto"/>
                                                        <w:jc w:val="both"/>
                                                        <w:textDirection w:val="btLr"/>
                                                      </w:pPr>
                                                      <w:r>
                                                        <w:rPr>
                                                          <w:rFonts w:ascii="Calibri" w:eastAsia="Calibri" w:hAnsi="Calibri" w:cs="Calibri"/>
                                                          <w:color w:val="808080"/>
                                                          <w:sz w:val="16"/>
                                                        </w:rPr>
                                                        <w:t>Como agente comprometido con la sostenibil</w:t>
                                                      </w:r>
                                                      <w:r>
                                                        <w:rPr>
                                                          <w:rFonts w:ascii="Calibri" w:eastAsia="Calibri" w:hAnsi="Calibri" w:cs="Calibri"/>
                                                          <w:color w:val="808080"/>
                                                          <w:sz w:val="16"/>
                                                        </w:rPr>
                                                        <w:t xml:space="preserve">idad de las ciudades, BNP </w:t>
                                                      </w:r>
                                                      <w:proofErr w:type="spellStart"/>
                                                      <w:r>
                                                        <w:rPr>
                                                          <w:rFonts w:ascii="Calibri" w:eastAsia="Calibri" w:hAnsi="Calibri" w:cs="Calibri"/>
                                                          <w:color w:val="808080"/>
                                                          <w:sz w:val="16"/>
                                                        </w:rPr>
                                                        <w:t>Paribas</w:t>
                                                      </w:r>
                                                      <w:proofErr w:type="spellEnd"/>
                                                      <w:r>
                                                        <w:rPr>
                                                          <w:rFonts w:ascii="Calibri" w:eastAsia="Calibri" w:hAnsi="Calibri" w:cs="Calibri"/>
                                                          <w:color w:val="808080"/>
                                                          <w:sz w:val="16"/>
                                                        </w:rPr>
                                                        <w:t xml:space="preserve"> Real Estate pretende encabezar la transición hacia un sector inmobiliario más sostenible: bajo en emisiones de carbono, resiliente, inclusivo y propicio al bienestar. Para lograrlo, la compañía ha desarrollado una política</w:t>
                                                      </w:r>
                                                      <w:r>
                                                        <w:rPr>
                                                          <w:rFonts w:ascii="Calibri" w:eastAsia="Calibri" w:hAnsi="Calibri" w:cs="Calibri"/>
                                                          <w:color w:val="808080"/>
                                                          <w:sz w:val="16"/>
                                                        </w:rPr>
                                                        <w:t xml:space="preserve"> de responsabilidad social corporativa (RSC) con cuatro objetivos: fomentar ética y responsablemente el rendimiento económico y el uso de edificios; integrar una transición baja en carbono y reducir su huella medioambiental; garantizar el desarrollo, compr</w:t>
                                                      </w:r>
                                                      <w:r>
                                                        <w:rPr>
                                                          <w:rFonts w:ascii="Calibri" w:eastAsia="Calibri" w:hAnsi="Calibri" w:cs="Calibri"/>
                                                          <w:color w:val="808080"/>
                                                          <w:sz w:val="16"/>
                                                        </w:rPr>
                                                        <w:t>omiso y bienestar de sus empleados; ser un actor proactivo en el sector inmobiliario y construir iniciativas locales, y alianzas.</w:t>
                                                      </w:r>
                                                    </w:p>
                                                    <w:p w14:paraId="3FB0B681" w14:textId="77777777" w:rsidR="008976ED" w:rsidRDefault="008976ED">
                                                      <w:pPr>
                                                        <w:spacing w:after="160" w:line="273" w:lineRule="auto"/>
                                                        <w:textDirection w:val="btLr"/>
                                                      </w:pPr>
                                                    </w:p>
                                                    <w:p w14:paraId="79565C0F" w14:textId="77777777" w:rsidR="008976ED" w:rsidRDefault="008976ED">
                                                      <w:pPr>
                                                        <w:spacing w:after="160" w:line="273" w:lineRule="auto"/>
                                                        <w:ind w:left="1275" w:firstLine="21675"/>
                                                        <w:textDirection w:val="btLr"/>
                                                      </w:pPr>
                                                    </w:p>
                                                  </w:txbxContent>
                                                </wps:txbx>
                                                <wps:bodyPr spcFirstLastPara="1" wrap="square" lIns="91425" tIns="90000" rIns="91425" bIns="90000" anchor="ctr" anchorCtr="0">
                                                  <a:noAutofit/>
                                                </wps:bodyPr>
                                              </wps:wsp>
                                              <wps:wsp>
                                                <wps:cNvPr id="26" name="Rectángulo 26"/>
                                                <wps:cNvSpPr/>
                                                <wps:spPr>
                                                  <a:xfrm>
                                                    <a:off x="5553824" y="2892506"/>
                                                    <a:ext cx="3439800" cy="1161300"/>
                                                  </a:xfrm>
                                                  <a:prstGeom prst="rect">
                                                    <a:avLst/>
                                                  </a:prstGeom>
                                                  <a:noFill/>
                                                  <a:ln>
                                                    <a:noFill/>
                                                  </a:ln>
                                                </wps:spPr>
                                                <wps:txbx>
                                                  <w:txbxContent>
                                                    <w:p w14:paraId="5DE675DC" w14:textId="77777777" w:rsidR="008976ED" w:rsidRDefault="008976ED">
                                                      <w:pPr>
                                                        <w:spacing w:after="160" w:line="273" w:lineRule="auto"/>
                                                        <w:ind w:left="-850" w:hanging="14450"/>
                                                        <w:textDirection w:val="btLr"/>
                                                      </w:pPr>
                                                    </w:p>
                                                    <w:p w14:paraId="6D44748D" w14:textId="77777777" w:rsidR="008976ED" w:rsidRDefault="009F037A">
                                                      <w:pPr>
                                                        <w:spacing w:after="160" w:line="273" w:lineRule="auto"/>
                                                        <w:ind w:left="-850" w:hanging="14450"/>
                                                        <w:jc w:val="right"/>
                                                        <w:textDirection w:val="btLr"/>
                                                      </w:pPr>
                                                      <w:r>
                                                        <w:rPr>
                                                          <w:rFonts w:ascii="Calibri" w:eastAsia="Calibri" w:hAnsi="Calibri" w:cs="Calibri"/>
                                                          <w:color w:val="808080"/>
                                                          <w:sz w:val="16"/>
                                                        </w:rPr>
                                                        <w:t xml:space="preserve">Para más información: </w:t>
                                                      </w:r>
                                                      <w:r>
                                                        <w:rPr>
                                                          <w:rFonts w:ascii="Calibri" w:eastAsia="Calibri" w:hAnsi="Calibri" w:cs="Calibri"/>
                                                          <w:color w:val="0000FF"/>
                                                          <w:sz w:val="16"/>
                                                          <w:u w:val="single"/>
                                                        </w:rPr>
                                                        <w:t>www.realestate.bnpparibas.com</w:t>
                                                      </w:r>
                                                      <w:r>
                                                        <w:rPr>
                                                          <w:rFonts w:ascii="Calibri" w:eastAsia="Calibri" w:hAnsi="Calibri" w:cs="Calibri"/>
                                                          <w:color w:val="808080"/>
                                                          <w:sz w:val="16"/>
                                                          <w:u w:val="single"/>
                                                        </w:rPr>
                                                        <w:t xml:space="preserve">  </w:t>
                                                      </w:r>
                                                    </w:p>
                                                    <w:p w14:paraId="763845A6" w14:textId="77777777" w:rsidR="008976ED" w:rsidRPr="000D198E" w:rsidRDefault="009F037A">
                                                      <w:pPr>
                                                        <w:spacing w:after="160" w:line="273" w:lineRule="auto"/>
                                                        <w:ind w:left="-850" w:hanging="14450"/>
                                                        <w:jc w:val="right"/>
                                                        <w:textDirection w:val="btLr"/>
                                                        <w:rPr>
                                                          <w:lang w:val="en-US"/>
                                                        </w:rPr>
                                                      </w:pPr>
                                                      <w:r w:rsidRPr="000D198E">
                                                        <w:rPr>
                                                          <w:rFonts w:ascii="Calibri" w:eastAsia="Calibri" w:hAnsi="Calibri" w:cs="Calibri"/>
                                                          <w:b/>
                                                          <w:color w:val="004231"/>
                                                          <w:sz w:val="16"/>
                                                          <w:lang w:val="en-US"/>
                                                        </w:rPr>
                                                        <w:t>Real estate for a changing world</w:t>
                                                      </w:r>
                                                    </w:p>
                                                  </w:txbxContent>
                                                </wps:txbx>
                                                <wps:bodyPr spcFirstLastPara="1" wrap="square" lIns="91425" tIns="45700" rIns="91425" bIns="45700" anchor="t" anchorCtr="0">
                                                  <a:noAutofit/>
                                                </wps:bodyPr>
                                              </wps:wsp>
                                            </wpg:grpSp>
                                          </wpg:grpSp>
                                        </wpg:grpSp>
                                      </wpg:grpSp>
                                    </wpg:grpSp>
                                  </wpg:grpSp>
                                </wpg:grpSp>
                              </wpg:grpSp>
                            </wpg:grpSp>
                          </wpg:grpSp>
                        </wpg:grpSp>
                      </wpg:grpSp>
                    </wpg:wgp>
                  </a:graphicData>
                </a:graphic>
              </wp:anchor>
            </w:drawing>
          </mc:Choice>
          <mc:Fallback>
            <w:pict>
              <v:group w14:anchorId="08F288C0" id="_x0000_s1027" style="position:absolute;left:0;text-align:left;margin-left:-279pt;margin-top:6pt;width:760.9pt;height:277.5pt;z-index:251659264" coordorigin="5144,20178" coordsize="96631,35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NsQhwUAABcrAAAOAAAAZHJzL2Uyb0RvYy54bWzsWuty4jYU/t+ZvoPH/zdYvmImZKezuUxn&#10;dtpMt30AxTbgqW+VTCCP02fpi+0n2RbGmLDAlhTS/CCWEfK5fOfofPK5/rhME+05YjzOs7FOrgxd&#10;i7IgD+NsOtb/+P3+w1DXeEmzkCZ5Fo31l4jrH29+/OF6UYwiM5/lSRgxDYtkfLQoxvqsLIvRYMCD&#10;WZRSfpUXUYYvJzlLaYkhmw5CRhdYPU0GpmG4g0XOwoLlQcQ57t5WX+o3cv3JJArKXycTHpVaMtYh&#10;Wyk/mfx8Ep+Dm2s6mjJazOKgFoMeIEVK4wwPVUvd0pJqcxZvLJXGAct5Pimvgjwd5JNJHERSB2hD&#10;jI42DyyfF1KX6WgxLZSZYNqOnQ5eNvjl+YEVX4pHBkssiilsIUdCl+WEpeI/pNSW0mQvymTRstQC&#10;3PRd1yLE0rUA31mOaZtObdRgBsuL3znExl1dwwTo6A09p7J6MLtrL4LfdRcZNDIM1iRTg0piqPDI&#10;tDgE/HQtoylQ9sDmRa4R8RwxeQ8lhbC2vSnsPvq6lg0dX9PXcR1jH30RG3zlfn6c+7/MaBFJVHFh&#10;mdp2ZmO73xAz//ydTedJrpmVBeU8hRE+4oBLD0CcLYor2+1Sm44KxsuHKE81cTHWGWSRYUWfP/MS&#10;3gQimilCgCy/j5NExnCSrd3ARHEHwGnEFVfl8mlZI0VCg4+e8vAFFuBFcB/jkZ8pLx8pQwoAlhZI&#10;C2Od/zWnLNK15OcMhveJxHLZHrD24Kk9oFkwy5FtgpLpWjX4VMrsUwn707zMJ7FUTIhXCVNLDY+3&#10;IlIBuXYXIq4NdesQqMNdPtJzNy7X3GUAyK+E9haPt0J7l8+7oX0CqCO8K9u1oW5fKtRVDJ8r1IHA&#10;NtTl7rFvVn+vUHcb27Wh7l4q1Oss2CTS88vqXuOuqoDx/s/qfWVxfwGDnWwzqw8vFepquzrXrO43&#10;7qqg7r8R1IeOJwrxugYSdbusJtsFjIlSfcVNZOFeVaIVP3qDAoZAnE2s425d1KKq/4ZqfYvqq/Jv&#10;h+KrUvzfrtbrLf988zrpMtODqCkc5oGmNVgdykXoqO0w28GOX9frjmHJqKKjFRXf4vP/ONx7uSlR&#10;he2lwV3VZ+ea28V5ULtkx1hmpv1OYt4t3Hv5KVE7/qXBva5yzzi7dxgqOYiivlu493JUopLgpcFd&#10;UZKzze4dlkoOoqnvFu69PJUoVFwa3Gtid8bZvcNUyUFU9TvD3SQ+OOkmVXXE67eGABg+Bm9MVc1e&#10;qoq7B1PVluot5vO64qejqisSfq7p3exwVYyPLN7hsWo738pViUvcLlf9YHqGbdiorQThNT3Xrvnu&#10;iqwS4tu2YWI/EpTX9onveXKZrS+OT/B2yexlq7i7D+K3Kt9Avla9fjtXqS7LTqX6CTFfI+QMcvwp&#10;/K/Ib/udi6neTXzTBr/T/67tDU0fW5NAvul6Ls4x13L9Cd2voH22KU8x7uow2qy59l7nFcS1cT5X&#10;pSsPb9YtWdKtUp7n+LZpNLnKJqY9lIZrHc9hiSHxwYfgU8fzPcxG0hAT7upOGc81HMtDCSnP+GwP&#10;zQhSVhX1b3AaLXp7Nk+jcXefhLdN9Sbf7VT8OLxrC7R2oIaAYUXPxyShJS7TAk1FPJvKFhSeJ3Eo&#10;2k2ER2R/WvQpYdozRWdZ+KdMgfDC2izRqnJL+ayehKvKn2jrykLp2VlEw7ss1MqXAm1LGVrk0HaC&#10;Z6boN4nQUIcLOa+kcbJ7Hp7/atOLykHHBaqBP13r63qpvvkOXS+nyNO95w7mnucOjmMNkS5kjTL0&#10;UX3L36+i3rItf9i8PiKoc6yqblcBexxu9+p5UieIR7kfWW6L++tvGvcjgg5peVplMNkIVXckvvE1&#10;ui8hwVp7Z3sspVv1s958BQAA//8DAFBLAwQUAAYACAAAACEAlFLayeIAAAALAQAADwAAAGRycy9k&#10;b3ducmV2LnhtbEyPQUvDQBCF74L/YRnBW7tJS2KN2ZRS1FMR2gribZudJqHZ2ZDdJum/dzzpaXi8&#10;x5v35evJtmLA3jeOFMTzCARS6UxDlYLP49tsBcIHTUa3jlDBDT2si/u7XGfGjbTH4RAqwSXkM62g&#10;DqHLpPRljVb7ueuQ2Du73urAsq+k6fXI5baViyhKpdUN8Ydad7itsbwcrlbB+6jHzTJ+HXaX8/b2&#10;fUw+vnYxKvX4MG1eQAScwl8YfufzdCh408ldyXjRKpglyYphAjsLvpx4TpcMc1KQpE8RyCKX/xmK&#10;HwAAAP//AwBQSwECLQAUAAYACAAAACEAtoM4kv4AAADhAQAAEwAAAAAAAAAAAAAAAAAAAAAAW0Nv&#10;bnRlbnRfVHlwZXNdLnhtbFBLAQItABQABgAIAAAAIQA4/SH/1gAAAJQBAAALAAAAAAAAAAAAAAAA&#10;AC8BAABfcmVscy8ucmVsc1BLAQItABQABgAIAAAAIQCW4NsQhwUAABcrAAAOAAAAAAAAAAAAAAAA&#10;AC4CAABkcnMvZTJvRG9jLnhtbFBLAQItABQABgAIAAAAIQCUUtrJ4gAAAAsBAAAPAAAAAAAAAAAA&#10;AAAAAOEHAABkcnMvZG93bnJldi54bWxQSwUGAAAAAAQABADzAAAA8AgAAAAA&#10;">
                <v:group id="Grupo 1" o:spid="_x0000_s1028" style="position:absolute;left:5144;top:20178;width:96631;height:35243" coordorigin="5634,20178" coordsize="95650,3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9" style="position:absolute;left:5634;top:20178;width:95651;height:35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580499D0" w14:textId="77777777" w:rsidR="008976ED" w:rsidRDefault="008976ED">
                          <w:pPr>
                            <w:spacing w:line="240" w:lineRule="auto"/>
                            <w:textDirection w:val="btLr"/>
                          </w:pPr>
                        </w:p>
                      </w:txbxContent>
                    </v:textbox>
                  </v:rect>
                  <v:group id="Grupo 3" o:spid="_x0000_s1030" style="position:absolute;left:5634;top:20178;width:95651;height:35243" coordorigin="5634,20178" coordsize="95650,3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ángulo 4" o:spid="_x0000_s1031" style="position:absolute;left:5634;top:20178;width:95651;height:35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2C911A43" w14:textId="77777777" w:rsidR="008976ED" w:rsidRDefault="008976ED">
                            <w:pPr>
                              <w:spacing w:line="240" w:lineRule="auto"/>
                              <w:textDirection w:val="btLr"/>
                            </w:pPr>
                          </w:p>
                        </w:txbxContent>
                      </v:textbox>
                    </v:rect>
                    <v:group id="Grupo 5" o:spid="_x0000_s1032" style="position:absolute;left:5634;top:20178;width:95651;height:35243" coordorigin="5634,20178" coordsize="95650,3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ángulo 6" o:spid="_x0000_s1033" style="position:absolute;left:5634;top:20178;width:95651;height:35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58B2DE8B" w14:textId="77777777" w:rsidR="008976ED" w:rsidRDefault="008976ED">
                              <w:pPr>
                                <w:spacing w:line="240" w:lineRule="auto"/>
                                <w:textDirection w:val="btLr"/>
                              </w:pPr>
                            </w:p>
                          </w:txbxContent>
                        </v:textbox>
                      </v:rect>
                      <v:group id="Grupo 7" o:spid="_x0000_s1034" style="position:absolute;left:5634;top:20178;width:95651;height:35243" coordorigin="5634,20178" coordsize="95650,3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ángulo 8" o:spid="_x0000_s1035" style="position:absolute;left:5634;top:20178;width:95651;height:35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4A8BB865" w14:textId="77777777" w:rsidR="008976ED" w:rsidRDefault="008976ED">
                                <w:pPr>
                                  <w:spacing w:line="240" w:lineRule="auto"/>
                                  <w:textDirection w:val="btLr"/>
                                </w:pPr>
                              </w:p>
                            </w:txbxContent>
                          </v:textbox>
                        </v:rect>
                        <v:group id="Grupo 9" o:spid="_x0000_s1036" style="position:absolute;left:5634;top:20178;width:95651;height:35243" coordorigin="5857,20174" coordsize="95205,3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ángulo 10" o:spid="_x0000_s1037" style="position:absolute;left:5857;top:20174;width:95205;height:35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14:paraId="15755218" w14:textId="77777777" w:rsidR="008976ED" w:rsidRDefault="008976ED">
                                  <w:pPr>
                                    <w:spacing w:line="240" w:lineRule="auto"/>
                                    <w:textDirection w:val="btLr"/>
                                  </w:pPr>
                                </w:p>
                              </w:txbxContent>
                            </v:textbox>
                          </v:rect>
                          <v:group id="Grupo 11" o:spid="_x0000_s1038" style="position:absolute;left:5857;top:20174;width:95205;height:35251" coordorigin="5857,20174" coordsize="95205,3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ángulo 12" o:spid="_x0000_s1039" style="position:absolute;left:5857;top:20174;width:95205;height:35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14:paraId="01763C40" w14:textId="77777777" w:rsidR="008976ED" w:rsidRDefault="008976ED">
                                    <w:pPr>
                                      <w:spacing w:line="240" w:lineRule="auto"/>
                                      <w:textDirection w:val="btLr"/>
                                    </w:pPr>
                                  </w:p>
                                </w:txbxContent>
                              </v:textbox>
                            </v:rect>
                            <v:group id="Grupo 13" o:spid="_x0000_s1040" style="position:absolute;left:5857;top:20174;width:95205;height:35251" coordorigin="5857,20174" coordsize="95205,3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ángulo 14" o:spid="_x0000_s1041" style="position:absolute;left:5857;top:20174;width:95205;height:35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YugwQAAANsAAAAPAAAAZHJzL2Rvd25yZXYueG1sRE/NasJA&#10;EL4LvsMyBW+6aRCxqZtQi0LrySZ9gGl2mg3NzqbZVdO37wqCt/n4fmdTjLYTZxp861jB4yIBQVw7&#10;3XKj4LPaz9cgfEDW2DkmBX/kocinkw1m2l34g85laEQMYZ+hAhNCn0npa0MW/cL1xJH7doPFEOHQ&#10;SD3gJYbbTqZJspIWW44NBnt6NVT/lCer4Lh0lO5Svy0b+2TGr+rw/osrpWYP48sziEBjuItv7jcd&#10;5y/h+ks8QOb/AAAA//8DAFBLAQItABQABgAIAAAAIQDb4fbL7gAAAIUBAAATAAAAAAAAAAAAAAAA&#10;AAAAAABbQ29udGVudF9UeXBlc10ueG1sUEsBAi0AFAAGAAgAAAAhAFr0LFu/AAAAFQEAAAsAAAAA&#10;AAAAAAAAAAAAHwEAAF9yZWxzLy5yZWxzUEsBAi0AFAAGAAgAAAAhAChdi6DBAAAA2wAAAA8AAAAA&#10;AAAAAAAAAAAABwIAAGRycy9kb3ducmV2LnhtbFBLBQYAAAAAAwADALcAAAD1AgAAAAA=&#10;" filled="f" stroked="f">
                                <v:textbox inset="2.53958mm,2.53958mm,2.53958mm,2.53958mm">
                                  <w:txbxContent>
                                    <w:p w14:paraId="778C5627" w14:textId="77777777" w:rsidR="008976ED" w:rsidRDefault="008976ED">
                                      <w:pPr>
                                        <w:spacing w:line="240" w:lineRule="auto"/>
                                        <w:textDirection w:val="btLr"/>
                                      </w:pPr>
                                    </w:p>
                                  </w:txbxContent>
                                </v:textbox>
                              </v:rect>
                              <v:group id="Grupo 15" o:spid="_x0000_s1042" style="position:absolute;left:5857;top:20174;width:95205;height:35251" coordorigin="5857,20174" coordsize="95205,3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ángulo 16" o:spid="_x0000_s1043" style="position:absolute;left:5857;top:20174;width:95205;height:35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7BMwQAAANsAAAAPAAAAZHJzL2Rvd25yZXYueG1sRE/NasJA&#10;EL4X+g7LFLzVTYOEGrORVixYTzX6AGN2zAazs2l2q/Htu0Kht/n4fqdYjrYTFxp861jByzQBQVw7&#10;3XKj4LD/eH4F4QOyxs4xKbiRh2X5+FBgrt2Vd3SpQiNiCPscFZgQ+lxKXxuy6KeuJ47cyQ0WQ4RD&#10;I/WA1xhuO5kmSSYtthwbDPa0MlSfqx+r4GvmKF2n/r1q7NyMx/328xszpSZP49sCRKAx/Iv/3Bsd&#10;52dw/yUeIMtfAAAA//8DAFBLAQItABQABgAIAAAAIQDb4fbL7gAAAIUBAAATAAAAAAAAAAAAAAAA&#10;AAAAAABbQ29udGVudF9UeXBlc10ueG1sUEsBAi0AFAAGAAgAAAAhAFr0LFu/AAAAFQEAAAsAAAAA&#10;AAAAAAAAAAAAHwEAAF9yZWxzLy5yZWxzUEsBAi0AFAAGAAgAAAAhALfDsEzBAAAA2wAAAA8AAAAA&#10;AAAAAAAAAAAABwIAAGRycy9kb3ducmV2LnhtbFBLBQYAAAAAAwADALcAAAD1AgAAAAA=&#10;" filled="f" stroked="f">
                                  <v:textbox inset="2.53958mm,2.53958mm,2.53958mm,2.53958mm">
                                    <w:txbxContent>
                                      <w:p w14:paraId="5C8500D4" w14:textId="77777777" w:rsidR="008976ED" w:rsidRDefault="008976ED">
                                        <w:pPr>
                                          <w:spacing w:line="240" w:lineRule="auto"/>
                                          <w:textDirection w:val="btLr"/>
                                        </w:pPr>
                                      </w:p>
                                    </w:txbxContent>
                                  </v:textbox>
                                </v:rect>
                                <v:group id="Grupo 17" o:spid="_x0000_s1044" style="position:absolute;left:5857;top:20174;width:95205;height:35251" coordorigin="5857,20174" coordsize="95205,3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ángulo 18" o:spid="_x0000_s1045" style="position:absolute;left:5857;top:20174;width:95205;height:35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GlwwAAANsAAAAPAAAAZHJzL2Rvd25yZXYueG1sRI9Bb8Iw&#10;DIXvk/gPkZF2GykVQlshIJiGtO20FX6AaUxT0Thdk0H37+cDEjdb7/m9z8v14Ft1oT42gQ1MJxko&#10;4irYhmsDh/3u6RlUTMgW28Bk4I8irFejhyUWNlz5my5lqpWEcCzQgEupK7SOlSOPcRI6YtFOofeY&#10;ZO1rbXu8SrhvdZ5lc+2xYWlw2NGro+pc/noDX7NA+Vset2XtX9xw3H9+/ODcmMfxsFmASjSku/l2&#10;/W4FX2DlFxlAr/4BAAD//wMAUEsBAi0AFAAGAAgAAAAhANvh9svuAAAAhQEAABMAAAAAAAAAAAAA&#10;AAAAAAAAAFtDb250ZW50X1R5cGVzXS54bWxQSwECLQAUAAYACAAAACEAWvQsW78AAAAVAQAACwAA&#10;AAAAAAAAAAAAAAAfAQAAX3JlbHMvLnJlbHNQSwECLQAUAAYACAAAACEAqRCBpcMAAADbAAAADwAA&#10;AAAAAAAAAAAAAAAHAgAAZHJzL2Rvd25yZXYueG1sUEsFBgAAAAADAAMAtwAAAPcCAAAAAA==&#10;" filled="f" stroked="f">
                                    <v:textbox inset="2.53958mm,2.53958mm,2.53958mm,2.53958mm">
                                      <w:txbxContent>
                                        <w:p w14:paraId="72C20102" w14:textId="77777777" w:rsidR="008976ED" w:rsidRDefault="008976ED">
                                          <w:pPr>
                                            <w:spacing w:line="240" w:lineRule="auto"/>
                                            <w:textDirection w:val="btLr"/>
                                          </w:pPr>
                                        </w:p>
                                      </w:txbxContent>
                                    </v:textbox>
                                  </v:rect>
                                  <v:group id="Grupo 19" o:spid="_x0000_s1046" style="position:absolute;left:5857;top:20174;width:95205;height:35251" coordorigin="5857,20219" coordsize="95252,35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ángulo 20" o:spid="_x0000_s1047" style="position:absolute;left:5857;top:20219;width:95253;height:352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cewAAAANsAAAAPAAAAZHJzL2Rvd25yZXYueG1sRE/dasIw&#10;FL4XfIdwhN3Z1DKKVqPMscHmlbZ7gLPm2JQ1J12T2e7tzcVglx/f/+4w2U7caPCtYwWrJAVBXDvd&#10;cqPgo3pdrkH4gKyxc0wKfsnDYT+f7bDQbuQL3crQiBjCvkAFJoS+kNLXhiz6xPXEkbu6wWKIcGik&#10;HnCM4baTWZrm0mLLscFgT8+G6q/yxyo4PzrKXjJ/LBu7MdNndXr/xlyph8X0tAURaAr/4j/3m1aQ&#10;xfXxS/wBcn8HAAD//wMAUEsBAi0AFAAGAAgAAAAhANvh9svuAAAAhQEAABMAAAAAAAAAAAAAAAAA&#10;AAAAAFtDb250ZW50X1R5cGVzXS54bWxQSwECLQAUAAYACAAAACEAWvQsW78AAAAVAQAACwAAAAAA&#10;AAAAAAAAAAAfAQAAX3JlbHMvLnJlbHNQSwECLQAUAAYACAAAACEAmQpHHsAAAADbAAAADwAAAAAA&#10;AAAAAAAAAAAHAgAAZHJzL2Rvd25yZXYueG1sUEsFBgAAAAADAAMAtwAAAPQCAAAAAA==&#10;" filled="f" stroked="f">
                                      <v:textbox inset="2.53958mm,2.53958mm,2.53958mm,2.53958mm">
                                        <w:txbxContent>
                                          <w:p w14:paraId="79F5BCE1" w14:textId="77777777" w:rsidR="008976ED" w:rsidRDefault="008976ED">
                                            <w:pPr>
                                              <w:spacing w:line="240" w:lineRule="auto"/>
                                              <w:textDirection w:val="btLr"/>
                                            </w:pPr>
                                          </w:p>
                                        </w:txbxContent>
                                      </v:textbox>
                                    </v:rect>
                                    <v:group id="Grupo 21" o:spid="_x0000_s1048" style="position:absolute;left:5857;top:20219;width:95205;height:35161" coordorigin="-27040,2276" coordsize="119440,49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ángulo 22" o:spid="_x0000_s1049" style="position:absolute;left:-27040;top:2276;width:119439;height:49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HzywgAAANsAAAAPAAAAZHJzL2Rvd25yZXYueG1sRI/RagIx&#10;FETfhf5DuAXfNGsQsVujqCi0PtW1H3C7ud0s3dysm6jbv2+Ego/DzJxhFqveNeJKXag9a5iMMxDE&#10;pTc1Vxo+T/vRHESIyAYbz6ThlwKslk+DBebG3/hI1yJWIkE45KjBxtjmUobSksMw9i1x8r595zAm&#10;2VXSdHhLcNdIlWUz6bDmtGCxpa2l8qe4OA0fU09qp8KmqNyL7b9Oh/czzrQePvfrVxCR+vgI/7ff&#10;jAal4P4l/QC5/AMAAP//AwBQSwECLQAUAAYACAAAACEA2+H2y+4AAACFAQAAEwAAAAAAAAAAAAAA&#10;AAAAAAAAW0NvbnRlbnRfVHlwZXNdLnhtbFBLAQItABQABgAIAAAAIQBa9CxbvwAAABUBAAALAAAA&#10;AAAAAAAAAAAAAB8BAABfcmVscy8ucmVsc1BLAQItABQABgAIAAAAIQAGlHzywgAAANsAAAAPAAAA&#10;AAAAAAAAAAAAAAcCAABkcnMvZG93bnJldi54bWxQSwUGAAAAAAMAAwC3AAAA9gIAAAAA&#10;" filled="f" stroked="f">
                                        <v:textbox inset="2.53958mm,2.53958mm,2.53958mm,2.53958mm">
                                          <w:txbxContent>
                                            <w:p w14:paraId="5CF8DBBF" w14:textId="77777777" w:rsidR="008976ED" w:rsidRDefault="008976ED">
                                              <w:pPr>
                                                <w:spacing w:line="240" w:lineRule="auto"/>
                                                <w:textDirection w:val="btLr"/>
                                              </w:pPr>
                                            </w:p>
                                          </w:txbxContent>
                                        </v:textbox>
                                      </v:rect>
                                      <v:rect id="Rectángulo 23" o:spid="_x0000_s1050" style="position:absolute;left:-27040;top:2276;width:64782;height:26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NlpwwAAANsAAAAPAAAAZHJzL2Rvd25yZXYueG1sRI/BbsIw&#10;EETvlfgHa5F6K05ThNoQBwEqEvTUBj5giZc4arwOsQvh73GlSj2OZuaNJl8MthUX6n3jWMHzJAFB&#10;XDndcK3gsN88vYLwAVlj65gU3MjDohg95Jhpd+UvupShFhHCPkMFJoQuk9JXhiz6ieuIo3dyvcUQ&#10;ZV9L3eM1wm0r0ySZSYsNxwWDHa0NVd/lj1XwOXWUvqd+Vdb2zQzH/cfujDOlHsfDcg4i0BD+w3/t&#10;rVaQvsDvl/gDZHEHAAD//wMAUEsBAi0AFAAGAAgAAAAhANvh9svuAAAAhQEAABMAAAAAAAAAAAAA&#10;AAAAAAAAAFtDb250ZW50X1R5cGVzXS54bWxQSwECLQAUAAYACAAAACEAWvQsW78AAAAVAQAACwAA&#10;AAAAAAAAAAAAAAAfAQAAX3JlbHMvLnJlbHNQSwECLQAUAAYACAAAACEAadjZacMAAADbAAAADwAA&#10;AAAAAAAAAAAAAAAHAgAAZHJzL2Rvd25yZXYueG1sUEsFBgAAAAADAAMAtwAAAPcCAAAAAA==&#10;" filled="f" stroked="f">
                                        <v:textbox inset="2.53958mm,2.53958mm,2.53958mm,2.53958mm">
                                          <w:txbxContent>
                                            <w:p w14:paraId="40D5F7BB" w14:textId="77777777" w:rsidR="008976ED" w:rsidRDefault="008976ED">
                                              <w:pPr>
                                                <w:spacing w:line="240" w:lineRule="auto"/>
                                                <w:textDirection w:val="btLr"/>
                                              </w:pPr>
                                            </w:p>
                                          </w:txbxContent>
                                        </v:textbox>
                                      </v:rect>
                                      <v:group id="Grupo 24" o:spid="_x0000_s1051" style="position:absolute;left:16457;top:7349;width:75942;height:44125" coordorigin="16481,5797" coordsize="76053,34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Rectángulo 25" o:spid="_x0000_s1052" style="position:absolute;left:16481;top:5797;width:76054;height:347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uaoxAAAANsAAAAPAAAAZHJzL2Rvd25yZXYueG1sRI9Ba8JA&#10;FITvgv9heUJvdaNSldRVSjEiiNBqS6+P7DMJyb4Nu1sT/31XKHgcZuYbZrXpTSOu5HxlWcFknIAg&#10;zq2uuFDwdc6elyB8QNbYWCYFN/KwWQ8HK0y17fiTrqdQiAhhn6KCMoQ2ldLnJRn0Y9sSR+9incEQ&#10;pSukdthFuGnkNEnm0mDFcaHElt5LyuvTr1GQHc/drl40dRZmfCi+P7Y/N1cr9TTq315BBOrDI/zf&#10;3msF0xe4f4k/QK7/AAAA//8DAFBLAQItABQABgAIAAAAIQDb4fbL7gAAAIUBAAATAAAAAAAAAAAA&#10;AAAAAAAAAABbQ29udGVudF9UeXBlc10ueG1sUEsBAi0AFAAGAAgAAAAhAFr0LFu/AAAAFQEAAAsA&#10;AAAAAAAAAAAAAAAAHwEAAF9yZWxzLy5yZWxzUEsBAi0AFAAGAAgAAAAhAGWu5qjEAAAA2wAAAA8A&#10;AAAAAAAAAAAAAAAABwIAAGRycy9kb3ducmV2LnhtbFBLBQYAAAAAAwADALcAAAD4AgAAAAA=&#10;" filled="f" strokecolor="black [3200]">
                                          <v:stroke dashstyle="dash" startarrowwidth="narrow" startarrowlength="short" endarrowwidth="narrow" endarrowlength="short" joinstyle="round"/>
                                          <v:textbox inset="2.53958mm,2.5mm,2.53958mm,2.5mm">
                                            <w:txbxContent>
                                              <w:p w14:paraId="3399C28A" w14:textId="77777777" w:rsidR="008976ED" w:rsidRDefault="009F037A">
                                                <w:pPr>
                                                  <w:spacing w:after="160" w:line="240" w:lineRule="auto"/>
                                                  <w:textDirection w:val="btLr"/>
                                                </w:pPr>
                                                <w:r>
                                                  <w:rPr>
                                                    <w:rFonts w:ascii="Calibri" w:eastAsia="Calibri" w:hAnsi="Calibri" w:cs="Calibri"/>
                                                    <w:b/>
                                                    <w:color w:val="004231"/>
                                                    <w:sz w:val="18"/>
                                                  </w:rPr>
                                                  <w:t xml:space="preserve">Sobre BNP </w:t>
                                                </w:r>
                                                <w:proofErr w:type="spellStart"/>
                                                <w:r>
                                                  <w:rPr>
                                                    <w:rFonts w:ascii="Calibri" w:eastAsia="Calibri" w:hAnsi="Calibri" w:cs="Calibri"/>
                                                    <w:b/>
                                                    <w:color w:val="004231"/>
                                                    <w:sz w:val="18"/>
                                                  </w:rPr>
                                                  <w:t>Paribas</w:t>
                                                </w:r>
                                                <w:proofErr w:type="spellEnd"/>
                                                <w:r>
                                                  <w:rPr>
                                                    <w:rFonts w:ascii="Calibri" w:eastAsia="Calibri" w:hAnsi="Calibri" w:cs="Calibri"/>
                                                    <w:b/>
                                                    <w:color w:val="004231"/>
                                                    <w:sz w:val="18"/>
                                                  </w:rPr>
                                                  <w:t xml:space="preserve"> Real Estate</w:t>
                                                </w:r>
                                              </w:p>
                                              <w:p w14:paraId="2CC9075E" w14:textId="77777777" w:rsidR="008976ED" w:rsidRDefault="009F037A">
                                                <w:pPr>
                                                  <w:spacing w:after="160" w:line="273" w:lineRule="auto"/>
                                                  <w:jc w:val="both"/>
                                                  <w:textDirection w:val="btLr"/>
                                                </w:pPr>
                                                <w:r>
                                                  <w:rPr>
                                                    <w:rFonts w:ascii="Calibri" w:eastAsia="Calibri" w:hAnsi="Calibri" w:cs="Calibri"/>
                                                    <w:color w:val="808080"/>
                                                    <w:sz w:val="16"/>
                                                  </w:rPr>
                                                  <w:t xml:space="preserve">BNP </w:t>
                                                </w:r>
                                                <w:proofErr w:type="spellStart"/>
                                                <w:r>
                                                  <w:rPr>
                                                    <w:rFonts w:ascii="Calibri" w:eastAsia="Calibri" w:hAnsi="Calibri" w:cs="Calibri"/>
                                                    <w:color w:val="808080"/>
                                                    <w:sz w:val="16"/>
                                                  </w:rPr>
                                                  <w:t>Paribas</w:t>
                                                </w:r>
                                                <w:proofErr w:type="spellEnd"/>
                                                <w:r>
                                                  <w:rPr>
                                                    <w:rFonts w:ascii="Calibri" w:eastAsia="Calibri" w:hAnsi="Calibri" w:cs="Calibri"/>
                                                    <w:color w:val="808080"/>
                                                    <w:sz w:val="16"/>
                                                  </w:rPr>
                                                  <w:t xml:space="preserve"> Real Estate, una de las principales consultoras de servicios inmobiliarios a nivel internacional, ofrece a sus clientes una amplia línea de servicios que abarcan todas las etapas del ciclo inmobiliario: Promoción, </w:t>
                                                </w:r>
                                                <w:r>
                                                  <w:rPr>
                                                    <w:rFonts w:ascii="Calibri" w:eastAsia="Calibri" w:hAnsi="Calibri" w:cs="Calibri"/>
                                                    <w:color w:val="808080"/>
                                                    <w:sz w:val="16"/>
                                                  </w:rPr>
                                                  <w:t xml:space="preserve">Transacción, Consultoría, Valoración, Gestión de la Propiedad y Gestión de la Inversión. Con 5.000 empleados, BNP </w:t>
                                                </w:r>
                                                <w:proofErr w:type="spellStart"/>
                                                <w:r>
                                                  <w:rPr>
                                                    <w:rFonts w:ascii="Calibri" w:eastAsia="Calibri" w:hAnsi="Calibri" w:cs="Calibri"/>
                                                    <w:color w:val="808080"/>
                                                    <w:sz w:val="16"/>
                                                  </w:rPr>
                                                  <w:t>Paribas</w:t>
                                                </w:r>
                                                <w:proofErr w:type="spellEnd"/>
                                                <w:r>
                                                  <w:rPr>
                                                    <w:rFonts w:ascii="Calibri" w:eastAsia="Calibri" w:hAnsi="Calibri" w:cs="Calibri"/>
                                                    <w:color w:val="808080"/>
                                                    <w:sz w:val="16"/>
                                                  </w:rPr>
                                                  <w:t xml:space="preserve"> Real Estate, como consultora de servicios integrales, apoya a propietarios, arrendatarios, inversores y comunidades gracias a su exper</w:t>
                                                </w:r>
                                                <w:r>
                                                  <w:rPr>
                                                    <w:rFonts w:ascii="Calibri" w:eastAsia="Calibri" w:hAnsi="Calibri" w:cs="Calibri"/>
                                                    <w:color w:val="808080"/>
                                                    <w:sz w:val="16"/>
                                                  </w:rPr>
                                                  <w:t xml:space="preserve">iencia local en 24 países (a través de sus oficinas propias y su red de alianzas) en Europa, Oriente Medio y Asia. BNP </w:t>
                                                </w:r>
                                                <w:proofErr w:type="spellStart"/>
                                                <w:r>
                                                  <w:rPr>
                                                    <w:rFonts w:ascii="Calibri" w:eastAsia="Calibri" w:hAnsi="Calibri" w:cs="Calibri"/>
                                                    <w:color w:val="808080"/>
                                                    <w:sz w:val="16"/>
                                                  </w:rPr>
                                                  <w:t>Paribas</w:t>
                                                </w:r>
                                                <w:proofErr w:type="spellEnd"/>
                                                <w:r>
                                                  <w:rPr>
                                                    <w:rFonts w:ascii="Calibri" w:eastAsia="Calibri" w:hAnsi="Calibri" w:cs="Calibri"/>
                                                    <w:color w:val="808080"/>
                                                    <w:sz w:val="16"/>
                                                  </w:rPr>
                                                  <w:t xml:space="preserve"> Real Estate forma parte del BNP </w:t>
                                                </w:r>
                                                <w:proofErr w:type="spellStart"/>
                                                <w:r>
                                                  <w:rPr>
                                                    <w:rFonts w:ascii="Calibri" w:eastAsia="Calibri" w:hAnsi="Calibri" w:cs="Calibri"/>
                                                    <w:color w:val="808080"/>
                                                    <w:sz w:val="16"/>
                                                  </w:rPr>
                                                  <w:t>Paribas</w:t>
                                                </w:r>
                                                <w:proofErr w:type="spellEnd"/>
                                                <w:r>
                                                  <w:rPr>
                                                    <w:rFonts w:ascii="Calibri" w:eastAsia="Calibri" w:hAnsi="Calibri" w:cs="Calibri"/>
                                                    <w:color w:val="808080"/>
                                                    <w:sz w:val="16"/>
                                                  </w:rPr>
                                                  <w:t xml:space="preserve"> </w:t>
                                                </w:r>
                                                <w:proofErr w:type="spellStart"/>
                                                <w:r>
                                                  <w:rPr>
                                                    <w:rFonts w:ascii="Calibri" w:eastAsia="Calibri" w:hAnsi="Calibri" w:cs="Calibri"/>
                                                    <w:color w:val="808080"/>
                                                    <w:sz w:val="16"/>
                                                  </w:rPr>
                                                  <w:t>Group</w:t>
                                                </w:r>
                                                <w:proofErr w:type="spellEnd"/>
                                                <w:r>
                                                  <w:rPr>
                                                    <w:rFonts w:ascii="Calibri" w:eastAsia="Calibri" w:hAnsi="Calibri" w:cs="Calibri"/>
                                                    <w:color w:val="808080"/>
                                                    <w:sz w:val="16"/>
                                                  </w:rPr>
                                                  <w:t>, líder mundial en servicios financieros.</w:t>
                                                </w:r>
                                              </w:p>
                                              <w:p w14:paraId="372C75D1" w14:textId="77777777" w:rsidR="008976ED" w:rsidRDefault="009F037A">
                                                <w:pPr>
                                                  <w:spacing w:after="160" w:line="273" w:lineRule="auto"/>
                                                  <w:jc w:val="both"/>
                                                  <w:textDirection w:val="btLr"/>
                                                </w:pPr>
                                                <w:r>
                                                  <w:rPr>
                                                    <w:rFonts w:ascii="Calibri" w:eastAsia="Calibri" w:hAnsi="Calibri" w:cs="Calibri"/>
                                                    <w:color w:val="808080"/>
                                                    <w:sz w:val="16"/>
                                                  </w:rPr>
                                                  <w:t>Como agente comprometido con la sostenibil</w:t>
                                                </w:r>
                                                <w:r>
                                                  <w:rPr>
                                                    <w:rFonts w:ascii="Calibri" w:eastAsia="Calibri" w:hAnsi="Calibri" w:cs="Calibri"/>
                                                    <w:color w:val="808080"/>
                                                    <w:sz w:val="16"/>
                                                  </w:rPr>
                                                  <w:t xml:space="preserve">idad de las ciudades, BNP </w:t>
                                                </w:r>
                                                <w:proofErr w:type="spellStart"/>
                                                <w:r>
                                                  <w:rPr>
                                                    <w:rFonts w:ascii="Calibri" w:eastAsia="Calibri" w:hAnsi="Calibri" w:cs="Calibri"/>
                                                    <w:color w:val="808080"/>
                                                    <w:sz w:val="16"/>
                                                  </w:rPr>
                                                  <w:t>Paribas</w:t>
                                                </w:r>
                                                <w:proofErr w:type="spellEnd"/>
                                                <w:r>
                                                  <w:rPr>
                                                    <w:rFonts w:ascii="Calibri" w:eastAsia="Calibri" w:hAnsi="Calibri" w:cs="Calibri"/>
                                                    <w:color w:val="808080"/>
                                                    <w:sz w:val="16"/>
                                                  </w:rPr>
                                                  <w:t xml:space="preserve"> Real Estate pretende encabezar la transición hacia un sector inmobiliario más sostenible: bajo en emisiones de carbono, resiliente, inclusivo y propicio al bienestar. Para lograrlo, la compañía ha desarrollado una política</w:t>
                                                </w:r>
                                                <w:r>
                                                  <w:rPr>
                                                    <w:rFonts w:ascii="Calibri" w:eastAsia="Calibri" w:hAnsi="Calibri" w:cs="Calibri"/>
                                                    <w:color w:val="808080"/>
                                                    <w:sz w:val="16"/>
                                                  </w:rPr>
                                                  <w:t xml:space="preserve"> de responsabilidad social corporativa (RSC) con cuatro objetivos: fomentar ética y responsablemente el rendimiento económico y el uso de edificios; integrar una transición baja en carbono y reducir su huella medioambiental; garantizar el desarrollo, compr</w:t>
                                                </w:r>
                                                <w:r>
                                                  <w:rPr>
                                                    <w:rFonts w:ascii="Calibri" w:eastAsia="Calibri" w:hAnsi="Calibri" w:cs="Calibri"/>
                                                    <w:color w:val="808080"/>
                                                    <w:sz w:val="16"/>
                                                  </w:rPr>
                                                  <w:t>omiso y bienestar de sus empleados; ser un actor proactivo en el sector inmobiliario y construir iniciativas locales, y alianzas.</w:t>
                                                </w:r>
                                              </w:p>
                                              <w:p w14:paraId="3FB0B681" w14:textId="77777777" w:rsidR="008976ED" w:rsidRDefault="008976ED">
                                                <w:pPr>
                                                  <w:spacing w:after="160" w:line="273" w:lineRule="auto"/>
                                                  <w:textDirection w:val="btLr"/>
                                                </w:pPr>
                                              </w:p>
                                              <w:p w14:paraId="79565C0F" w14:textId="77777777" w:rsidR="008976ED" w:rsidRDefault="008976ED">
                                                <w:pPr>
                                                  <w:spacing w:after="160" w:line="273" w:lineRule="auto"/>
                                                  <w:ind w:left="1275" w:firstLine="21675"/>
                                                  <w:textDirection w:val="btLr"/>
                                                </w:pPr>
                                              </w:p>
                                            </w:txbxContent>
                                          </v:textbox>
                                        </v:rect>
                                        <v:rect id="Rectángulo 26" o:spid="_x0000_s1053" style="position:absolute;left:55538;top:28925;width:34398;height:1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HOMwAAAANsAAAAPAAAAZHJzL2Rvd25yZXYueG1sRI9Bi8Iw&#10;FITvwv6H8ARvNlW0LF2jyKLgHq172OOjebbF5KUkUeu/NwuCx2FmvmFWm8EacSMfOscKZlkOgrh2&#10;uuNGwe9pP/0EESKyRuOYFDwowGb9MVphqd2dj3SrYiMShEOJCtoY+1LKULdkMWSuJ07e2XmLMUnf&#10;SO3xnuDWyHmeF9Jix2mhxZ6+W6ov1dUq6Mnoq1lU+V8td55nxc9JPpZKTcbD9gtEpCG+w6/2QSuY&#10;F/D/Jf0AuX4CAAD//wMAUEsBAi0AFAAGAAgAAAAhANvh9svuAAAAhQEAABMAAAAAAAAAAAAAAAAA&#10;AAAAAFtDb250ZW50X1R5cGVzXS54bWxQSwECLQAUAAYACAAAACEAWvQsW78AAAAVAQAACwAAAAAA&#10;AAAAAAAAAAAfAQAAX3JlbHMvLnJlbHNQSwECLQAUAAYACAAAACEAe+BzjMAAAADbAAAADwAAAAAA&#10;AAAAAAAAAAAHAgAAZHJzL2Rvd25yZXYueG1sUEsFBgAAAAADAAMAtwAAAPQCAAAAAA==&#10;" filled="f" stroked="f">
                                          <v:textbox inset="2.53958mm,1.2694mm,2.53958mm,1.2694mm">
                                            <w:txbxContent>
                                              <w:p w14:paraId="5DE675DC" w14:textId="77777777" w:rsidR="008976ED" w:rsidRDefault="008976ED">
                                                <w:pPr>
                                                  <w:spacing w:after="160" w:line="273" w:lineRule="auto"/>
                                                  <w:ind w:left="-850" w:hanging="14450"/>
                                                  <w:textDirection w:val="btLr"/>
                                                </w:pPr>
                                              </w:p>
                                              <w:p w14:paraId="6D44748D" w14:textId="77777777" w:rsidR="008976ED" w:rsidRDefault="009F037A">
                                                <w:pPr>
                                                  <w:spacing w:after="160" w:line="273" w:lineRule="auto"/>
                                                  <w:ind w:left="-850" w:hanging="14450"/>
                                                  <w:jc w:val="right"/>
                                                  <w:textDirection w:val="btLr"/>
                                                </w:pPr>
                                                <w:r>
                                                  <w:rPr>
                                                    <w:rFonts w:ascii="Calibri" w:eastAsia="Calibri" w:hAnsi="Calibri" w:cs="Calibri"/>
                                                    <w:color w:val="808080"/>
                                                    <w:sz w:val="16"/>
                                                  </w:rPr>
                                                  <w:t xml:space="preserve">Para más información: </w:t>
                                                </w:r>
                                                <w:r>
                                                  <w:rPr>
                                                    <w:rFonts w:ascii="Calibri" w:eastAsia="Calibri" w:hAnsi="Calibri" w:cs="Calibri"/>
                                                    <w:color w:val="0000FF"/>
                                                    <w:sz w:val="16"/>
                                                    <w:u w:val="single"/>
                                                  </w:rPr>
                                                  <w:t>www.realestate.bnpparibas.com</w:t>
                                                </w:r>
                                                <w:r>
                                                  <w:rPr>
                                                    <w:rFonts w:ascii="Calibri" w:eastAsia="Calibri" w:hAnsi="Calibri" w:cs="Calibri"/>
                                                    <w:color w:val="808080"/>
                                                    <w:sz w:val="16"/>
                                                    <w:u w:val="single"/>
                                                  </w:rPr>
                                                  <w:t xml:space="preserve">  </w:t>
                                                </w:r>
                                              </w:p>
                                              <w:p w14:paraId="763845A6" w14:textId="77777777" w:rsidR="008976ED" w:rsidRPr="000D198E" w:rsidRDefault="009F037A">
                                                <w:pPr>
                                                  <w:spacing w:after="160" w:line="273" w:lineRule="auto"/>
                                                  <w:ind w:left="-850" w:hanging="14450"/>
                                                  <w:jc w:val="right"/>
                                                  <w:textDirection w:val="btLr"/>
                                                  <w:rPr>
                                                    <w:lang w:val="en-US"/>
                                                  </w:rPr>
                                                </w:pPr>
                                                <w:r w:rsidRPr="000D198E">
                                                  <w:rPr>
                                                    <w:rFonts w:ascii="Calibri" w:eastAsia="Calibri" w:hAnsi="Calibri" w:cs="Calibri"/>
                                                    <w:b/>
                                                    <w:color w:val="004231"/>
                                                    <w:sz w:val="16"/>
                                                    <w:lang w:val="en-US"/>
                                                  </w:rPr>
                                                  <w:t>Real estate for a changing world</w:t>
                                                </w:r>
                                              </w:p>
                                            </w:txbxContent>
                                          </v:textbox>
                                        </v:rect>
                                      </v:group>
                                    </v:group>
                                  </v:group>
                                </v:group>
                              </v:group>
                            </v:group>
                          </v:group>
                        </v:group>
                      </v:group>
                    </v:group>
                  </v:group>
                </v:group>
              </v:group>
            </w:pict>
          </mc:Fallback>
        </mc:AlternateContent>
      </w:r>
    </w:p>
    <w:p w14:paraId="3410373D" w14:textId="77777777" w:rsidR="008976ED" w:rsidRDefault="008976ED">
      <w:pPr>
        <w:shd w:val="clear" w:color="auto" w:fill="FFFFFF"/>
        <w:jc w:val="both"/>
        <w:rPr>
          <w:sz w:val="20"/>
          <w:szCs w:val="20"/>
        </w:rPr>
      </w:pPr>
    </w:p>
    <w:p w14:paraId="6D23E19E" w14:textId="77777777" w:rsidR="008976ED" w:rsidRDefault="008976ED">
      <w:pPr>
        <w:widowControl w:val="0"/>
        <w:spacing w:line="240" w:lineRule="auto"/>
        <w:jc w:val="both"/>
        <w:rPr>
          <w:rFonts w:ascii="Calibri" w:eastAsia="Calibri" w:hAnsi="Calibri" w:cs="Calibri"/>
        </w:rPr>
      </w:pPr>
    </w:p>
    <w:p w14:paraId="14936F06" w14:textId="77777777" w:rsidR="008976ED" w:rsidRDefault="008976ED">
      <w:pPr>
        <w:widowControl w:val="0"/>
        <w:spacing w:line="240" w:lineRule="auto"/>
        <w:jc w:val="both"/>
        <w:rPr>
          <w:rFonts w:ascii="Calibri" w:eastAsia="Calibri" w:hAnsi="Calibri" w:cs="Calibri"/>
        </w:rPr>
      </w:pPr>
    </w:p>
    <w:p w14:paraId="77170022" w14:textId="77777777" w:rsidR="008976ED" w:rsidRDefault="008976ED">
      <w:pPr>
        <w:widowControl w:val="0"/>
        <w:spacing w:line="240" w:lineRule="auto"/>
        <w:jc w:val="both"/>
        <w:rPr>
          <w:rFonts w:ascii="Calibri" w:eastAsia="Calibri" w:hAnsi="Calibri" w:cs="Calibri"/>
        </w:rPr>
      </w:pPr>
    </w:p>
    <w:p w14:paraId="486D1914" w14:textId="77777777" w:rsidR="008976ED" w:rsidRDefault="008976ED">
      <w:pPr>
        <w:widowControl w:val="0"/>
        <w:spacing w:line="240" w:lineRule="auto"/>
        <w:jc w:val="both"/>
        <w:rPr>
          <w:rFonts w:ascii="Calibri" w:eastAsia="Calibri" w:hAnsi="Calibri" w:cs="Calibri"/>
        </w:rPr>
      </w:pPr>
    </w:p>
    <w:p w14:paraId="1C67F081" w14:textId="77777777" w:rsidR="008976ED" w:rsidRDefault="008976ED">
      <w:pPr>
        <w:widowControl w:val="0"/>
        <w:spacing w:line="240" w:lineRule="auto"/>
        <w:jc w:val="both"/>
        <w:rPr>
          <w:rFonts w:ascii="Calibri" w:eastAsia="Calibri" w:hAnsi="Calibri" w:cs="Calibri"/>
        </w:rPr>
      </w:pPr>
    </w:p>
    <w:p w14:paraId="5A824F57" w14:textId="77777777" w:rsidR="008976ED" w:rsidRDefault="008976ED">
      <w:pPr>
        <w:widowControl w:val="0"/>
        <w:spacing w:line="240" w:lineRule="auto"/>
        <w:jc w:val="both"/>
        <w:rPr>
          <w:rFonts w:ascii="Calibri" w:eastAsia="Calibri" w:hAnsi="Calibri" w:cs="Calibri"/>
        </w:rPr>
      </w:pPr>
    </w:p>
    <w:p w14:paraId="542AAB93" w14:textId="77777777" w:rsidR="008976ED" w:rsidRDefault="008976ED">
      <w:pPr>
        <w:widowControl w:val="0"/>
        <w:spacing w:line="240" w:lineRule="auto"/>
        <w:jc w:val="both"/>
        <w:rPr>
          <w:rFonts w:ascii="Calibri" w:eastAsia="Calibri" w:hAnsi="Calibri" w:cs="Calibri"/>
        </w:rPr>
      </w:pPr>
    </w:p>
    <w:p w14:paraId="0405009F" w14:textId="77777777" w:rsidR="008976ED" w:rsidRDefault="008976ED">
      <w:pPr>
        <w:widowControl w:val="0"/>
        <w:spacing w:line="240" w:lineRule="auto"/>
        <w:jc w:val="both"/>
        <w:rPr>
          <w:rFonts w:ascii="Calibri" w:eastAsia="Calibri" w:hAnsi="Calibri" w:cs="Calibri"/>
        </w:rPr>
      </w:pPr>
    </w:p>
    <w:p w14:paraId="4EF57B8C" w14:textId="77777777" w:rsidR="008976ED" w:rsidRDefault="008976ED">
      <w:pPr>
        <w:spacing w:before="1" w:after="160" w:line="256" w:lineRule="auto"/>
        <w:jc w:val="both"/>
        <w:rPr>
          <w:rFonts w:ascii="Calibri" w:eastAsia="Calibri" w:hAnsi="Calibri" w:cs="Calibri"/>
          <w:b/>
          <w:color w:val="004230"/>
          <w:sz w:val="18"/>
          <w:szCs w:val="18"/>
        </w:rPr>
      </w:pPr>
    </w:p>
    <w:p w14:paraId="3A919502" w14:textId="77777777" w:rsidR="008976ED" w:rsidRDefault="008976ED">
      <w:pPr>
        <w:spacing w:before="1" w:after="160" w:line="256" w:lineRule="auto"/>
        <w:jc w:val="both"/>
        <w:rPr>
          <w:rFonts w:ascii="Calibri" w:eastAsia="Calibri" w:hAnsi="Calibri" w:cs="Calibri"/>
          <w:b/>
          <w:color w:val="004230"/>
          <w:sz w:val="18"/>
          <w:szCs w:val="18"/>
        </w:rPr>
      </w:pPr>
    </w:p>
    <w:p w14:paraId="7E0E3DD2" w14:textId="77777777" w:rsidR="008976ED" w:rsidRDefault="008976ED">
      <w:pPr>
        <w:spacing w:before="1" w:after="160" w:line="256" w:lineRule="auto"/>
        <w:jc w:val="both"/>
        <w:rPr>
          <w:rFonts w:ascii="Calibri" w:eastAsia="Calibri" w:hAnsi="Calibri" w:cs="Calibri"/>
          <w:b/>
          <w:color w:val="004230"/>
          <w:sz w:val="18"/>
          <w:szCs w:val="18"/>
        </w:rPr>
      </w:pPr>
    </w:p>
    <w:p w14:paraId="0366A82A" w14:textId="77777777" w:rsidR="008976ED" w:rsidRDefault="008976ED">
      <w:pPr>
        <w:spacing w:before="1" w:after="160" w:line="256" w:lineRule="auto"/>
        <w:jc w:val="both"/>
        <w:rPr>
          <w:rFonts w:ascii="Calibri" w:eastAsia="Calibri" w:hAnsi="Calibri" w:cs="Calibri"/>
          <w:b/>
          <w:color w:val="004230"/>
          <w:sz w:val="18"/>
          <w:szCs w:val="18"/>
        </w:rPr>
      </w:pPr>
    </w:p>
    <w:p w14:paraId="144E04F0" w14:textId="77777777" w:rsidR="008976ED" w:rsidRDefault="009F037A">
      <w:pPr>
        <w:spacing w:before="1" w:after="160" w:line="256" w:lineRule="auto"/>
        <w:jc w:val="both"/>
        <w:rPr>
          <w:rFonts w:ascii="Calibri" w:eastAsia="Calibri" w:hAnsi="Calibri" w:cs="Calibri"/>
          <w:b/>
          <w:color w:val="004230"/>
          <w:sz w:val="18"/>
          <w:szCs w:val="18"/>
        </w:rPr>
      </w:pPr>
      <w:r>
        <w:rPr>
          <w:noProof/>
        </w:rPr>
        <w:drawing>
          <wp:anchor distT="0" distB="0" distL="0" distR="0" simplePos="0" relativeHeight="251660288" behindDoc="1" locked="0" layoutInCell="1" hidden="0" allowOverlap="1" wp14:anchorId="30F67CF4" wp14:editId="7B2479FF">
            <wp:simplePos x="0" y="0"/>
            <wp:positionH relativeFrom="column">
              <wp:posOffset>1428017</wp:posOffset>
            </wp:positionH>
            <wp:positionV relativeFrom="paragraph">
              <wp:posOffset>213995</wp:posOffset>
            </wp:positionV>
            <wp:extent cx="238125" cy="247650"/>
            <wp:effectExtent l="0" t="0" r="0" b="0"/>
            <wp:wrapNone/>
            <wp:docPr id="168194288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238125" cy="247650"/>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41693847" wp14:editId="7CA0D361">
            <wp:simplePos x="0" y="0"/>
            <wp:positionH relativeFrom="column">
              <wp:posOffset>1387642</wp:posOffset>
            </wp:positionH>
            <wp:positionV relativeFrom="paragraph">
              <wp:posOffset>149593</wp:posOffset>
            </wp:positionV>
            <wp:extent cx="297595" cy="376990"/>
            <wp:effectExtent l="0" t="0" r="0" b="0"/>
            <wp:wrapNone/>
            <wp:docPr id="1681942887" name="image4.jpg" descr="Instagram Logo Png - Vectores y PSD gratuitos para descargar"/>
            <wp:cNvGraphicFramePr/>
            <a:graphic xmlns:a="http://schemas.openxmlformats.org/drawingml/2006/main">
              <a:graphicData uri="http://schemas.openxmlformats.org/drawingml/2006/picture">
                <pic:pic xmlns:pic="http://schemas.openxmlformats.org/drawingml/2006/picture">
                  <pic:nvPicPr>
                    <pic:cNvPr id="0" name="image4.jpg" descr="Instagram Logo Png - Vectores y PSD gratuitos para descargar"/>
                    <pic:cNvPicPr preferRelativeResize="0"/>
                  </pic:nvPicPr>
                  <pic:blipFill>
                    <a:blip r:embed="rId10"/>
                    <a:srcRect l="10650" r="10408"/>
                    <a:stretch>
                      <a:fillRect/>
                    </a:stretch>
                  </pic:blipFill>
                  <pic:spPr>
                    <a:xfrm>
                      <a:off x="0" y="0"/>
                      <a:ext cx="297595" cy="376990"/>
                    </a:xfrm>
                    <a:prstGeom prst="rect">
                      <a:avLst/>
                    </a:prstGeom>
                    <a:ln/>
                  </pic:spPr>
                </pic:pic>
              </a:graphicData>
            </a:graphic>
          </wp:anchor>
        </w:drawing>
      </w:r>
      <w:r>
        <w:rPr>
          <w:noProof/>
        </w:rPr>
        <w:drawing>
          <wp:anchor distT="19050" distB="19050" distL="19050" distR="19050" simplePos="0" relativeHeight="251662336" behindDoc="0" locked="0" layoutInCell="1" hidden="0" allowOverlap="1" wp14:anchorId="40DA3D67" wp14:editId="0F727A5A">
            <wp:simplePos x="0" y="0"/>
            <wp:positionH relativeFrom="column">
              <wp:posOffset>814070</wp:posOffset>
            </wp:positionH>
            <wp:positionV relativeFrom="paragraph">
              <wp:posOffset>206952</wp:posOffset>
            </wp:positionV>
            <wp:extent cx="245110" cy="247650"/>
            <wp:effectExtent l="0" t="0" r="0" b="0"/>
            <wp:wrapNone/>
            <wp:docPr id="168194288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245110" cy="247650"/>
                    </a:xfrm>
                    <a:prstGeom prst="rect">
                      <a:avLst/>
                    </a:prstGeom>
                    <a:ln/>
                  </pic:spPr>
                </pic:pic>
              </a:graphicData>
            </a:graphic>
          </wp:anchor>
        </w:drawing>
      </w:r>
      <w:r>
        <w:rPr>
          <w:noProof/>
        </w:rPr>
        <w:drawing>
          <wp:anchor distT="19050" distB="19050" distL="19050" distR="19050" simplePos="0" relativeHeight="251663360" behindDoc="0" locked="0" layoutInCell="1" hidden="0" allowOverlap="1" wp14:anchorId="35CC91AF" wp14:editId="03FDA8E4">
            <wp:simplePos x="0" y="0"/>
            <wp:positionH relativeFrom="column">
              <wp:posOffset>1107902</wp:posOffset>
            </wp:positionH>
            <wp:positionV relativeFrom="paragraph">
              <wp:posOffset>211397</wp:posOffset>
            </wp:positionV>
            <wp:extent cx="247650" cy="247650"/>
            <wp:effectExtent l="0" t="0" r="0" b="0"/>
            <wp:wrapNone/>
            <wp:docPr id="168194288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247650" cy="247650"/>
                    </a:xfrm>
                    <a:prstGeom prst="rect">
                      <a:avLst/>
                    </a:prstGeom>
                    <a:ln/>
                  </pic:spPr>
                </pic:pic>
              </a:graphicData>
            </a:graphic>
          </wp:anchor>
        </w:drawing>
      </w:r>
      <w:r>
        <w:rPr>
          <w:noProof/>
        </w:rPr>
        <w:drawing>
          <wp:anchor distT="0" distB="0" distL="114300" distR="114300" simplePos="0" relativeHeight="251664384" behindDoc="0" locked="0" layoutInCell="1" hidden="0" allowOverlap="1" wp14:anchorId="3544DCCA" wp14:editId="2DD7006F">
            <wp:simplePos x="0" y="0"/>
            <wp:positionH relativeFrom="column">
              <wp:posOffset>1405255</wp:posOffset>
            </wp:positionH>
            <wp:positionV relativeFrom="paragraph">
              <wp:posOffset>206202</wp:posOffset>
            </wp:positionV>
            <wp:extent cx="257175" cy="257175"/>
            <wp:effectExtent l="0" t="0" r="0" b="0"/>
            <wp:wrapNone/>
            <wp:docPr id="168194288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257175" cy="257175"/>
                    </a:xfrm>
                    <a:prstGeom prst="rect">
                      <a:avLst/>
                    </a:prstGeom>
                    <a:ln/>
                  </pic:spPr>
                </pic:pic>
              </a:graphicData>
            </a:graphic>
          </wp:anchor>
        </w:drawing>
      </w:r>
    </w:p>
    <w:p w14:paraId="10202F13" w14:textId="77777777" w:rsidR="008976ED" w:rsidRDefault="009F037A">
      <w:pPr>
        <w:spacing w:before="240" w:after="240" w:line="256" w:lineRule="auto"/>
        <w:jc w:val="both"/>
        <w:rPr>
          <w:rFonts w:ascii="Calibri" w:eastAsia="Calibri" w:hAnsi="Calibri" w:cs="Calibri"/>
          <w:b/>
          <w:color w:val="004230"/>
          <w:sz w:val="16"/>
          <w:szCs w:val="16"/>
        </w:rPr>
      </w:pPr>
      <w:r>
        <w:rPr>
          <w:rFonts w:ascii="Calibri" w:eastAsia="Calibri" w:hAnsi="Calibri" w:cs="Calibri"/>
          <w:b/>
          <w:color w:val="808080"/>
          <w:sz w:val="18"/>
          <w:szCs w:val="18"/>
        </w:rPr>
        <w:t xml:space="preserve">     Síguenos en  </w:t>
      </w:r>
      <w:r>
        <w:rPr>
          <w:rFonts w:ascii="Times New Roman" w:eastAsia="Times New Roman" w:hAnsi="Times New Roman" w:cs="Times New Roman"/>
          <w:b/>
          <w:color w:val="004230"/>
          <w:sz w:val="26"/>
          <w:szCs w:val="26"/>
        </w:rPr>
        <w:t xml:space="preserve">   </w:t>
      </w:r>
      <w:r>
        <w:rPr>
          <w:rFonts w:ascii="Calibri" w:eastAsia="Calibri" w:hAnsi="Calibri" w:cs="Calibri"/>
          <w:b/>
          <w:color w:val="004230"/>
          <w:sz w:val="16"/>
          <w:szCs w:val="16"/>
        </w:rPr>
        <w:t xml:space="preserve">    </w:t>
      </w:r>
    </w:p>
    <w:p w14:paraId="3DBAB51C" w14:textId="77777777" w:rsidR="008976ED" w:rsidRDefault="009F037A">
      <w:pPr>
        <w:spacing w:before="240" w:after="240" w:line="256" w:lineRule="auto"/>
        <w:ind w:left="1280"/>
        <w:rPr>
          <w:rFonts w:ascii="Calibri" w:eastAsia="Calibri" w:hAnsi="Calibri" w:cs="Calibri"/>
          <w:b/>
          <w:color w:val="0000FF"/>
          <w:sz w:val="16"/>
          <w:szCs w:val="16"/>
        </w:rPr>
      </w:pPr>
      <w:r>
        <w:rPr>
          <w:rFonts w:ascii="Calibri" w:eastAsia="Calibri" w:hAnsi="Calibri" w:cs="Calibri"/>
          <w:b/>
          <w:color w:val="0000FF"/>
          <w:sz w:val="16"/>
          <w:szCs w:val="16"/>
        </w:rPr>
        <w:t>#BEYONDBUILDINGS</w:t>
      </w:r>
    </w:p>
    <w:p w14:paraId="3EC2B868" w14:textId="77777777" w:rsidR="008976ED" w:rsidRDefault="009F037A">
      <w:pPr>
        <w:spacing w:after="160" w:line="256" w:lineRule="auto"/>
        <w:rPr>
          <w:rFonts w:ascii="Calibri" w:eastAsia="Calibri" w:hAnsi="Calibri" w:cs="Calibri"/>
        </w:rPr>
      </w:pPr>
      <w:r>
        <w:rPr>
          <w:noProof/>
        </w:rPr>
        <mc:AlternateContent>
          <mc:Choice Requires="wpg">
            <w:drawing>
              <wp:anchor distT="0" distB="0" distL="114300" distR="114300" simplePos="0" relativeHeight="251665408" behindDoc="0" locked="0" layoutInCell="1" hidden="0" allowOverlap="1" wp14:anchorId="2C386E01" wp14:editId="0BE0E160">
                <wp:simplePos x="0" y="0"/>
                <wp:positionH relativeFrom="column">
                  <wp:posOffset>1</wp:posOffset>
                </wp:positionH>
                <wp:positionV relativeFrom="paragraph">
                  <wp:posOffset>85725</wp:posOffset>
                </wp:positionV>
                <wp:extent cx="6153150" cy="581025"/>
                <wp:effectExtent l="0" t="0" r="0" b="0"/>
                <wp:wrapNone/>
                <wp:docPr id="1681942882" name=""/>
                <wp:cNvGraphicFramePr/>
                <a:graphic xmlns:a="http://schemas.openxmlformats.org/drawingml/2006/main">
                  <a:graphicData uri="http://schemas.microsoft.com/office/word/2010/wordprocessingShape">
                    <wps:wsp>
                      <wps:cNvSpPr/>
                      <wps:spPr>
                        <a:xfrm>
                          <a:off x="2321813" y="3542608"/>
                          <a:ext cx="6048375" cy="474785"/>
                        </a:xfrm>
                        <a:prstGeom prst="rect">
                          <a:avLst/>
                        </a:prstGeom>
                        <a:noFill/>
                        <a:ln w="9525" cap="flat" cmpd="sng">
                          <a:solidFill>
                            <a:schemeClr val="dk1"/>
                          </a:solidFill>
                          <a:prstDash val="dash"/>
                          <a:round/>
                          <a:headEnd type="none" w="sm" len="sm"/>
                          <a:tailEnd type="none" w="sm" len="sm"/>
                        </a:ln>
                      </wps:spPr>
                      <wps:txbx>
                        <w:txbxContent>
                          <w:p w14:paraId="6B7085F1" w14:textId="77777777" w:rsidR="008976ED" w:rsidRDefault="009F037A">
                            <w:pPr>
                              <w:spacing w:line="264" w:lineRule="auto"/>
                              <w:jc w:val="both"/>
                              <w:textDirection w:val="btLr"/>
                            </w:pPr>
                            <w:r>
                              <w:rPr>
                                <w:b/>
                                <w:color w:val="004231"/>
                                <w:sz w:val="18"/>
                              </w:rPr>
                              <w:t>Para más información:</w:t>
                            </w:r>
                          </w:p>
                          <w:p w14:paraId="56CF62FD" w14:textId="77777777" w:rsidR="008976ED" w:rsidRDefault="009F037A">
                            <w:pPr>
                              <w:spacing w:line="264" w:lineRule="auto"/>
                              <w:jc w:val="both"/>
                              <w:textDirection w:val="btLr"/>
                            </w:pPr>
                            <w:r>
                              <w:rPr>
                                <w:b/>
                                <w:color w:val="808080"/>
                                <w:sz w:val="16"/>
                              </w:rPr>
                              <w:t xml:space="preserve">Valença Figuera: </w:t>
                            </w:r>
                            <w:r>
                              <w:rPr>
                                <w:color w:val="0000FF"/>
                                <w:sz w:val="16"/>
                                <w:u w:val="single"/>
                              </w:rPr>
                              <w:t>valenca.figuera@interprofit.es</w:t>
                            </w:r>
                            <w:r>
                              <w:rPr>
                                <w:color w:val="000099"/>
                                <w:sz w:val="16"/>
                              </w:rPr>
                              <w:t xml:space="preserve"> </w:t>
                            </w:r>
                            <w:r>
                              <w:rPr>
                                <w:color w:val="808080"/>
                                <w:sz w:val="16"/>
                              </w:rPr>
                              <w:t xml:space="preserve">- </w:t>
                            </w:r>
                            <w:r>
                              <w:rPr>
                                <w:b/>
                                <w:color w:val="808080"/>
                                <w:sz w:val="16"/>
                              </w:rPr>
                              <w:t xml:space="preserve">Clara </w:t>
                            </w:r>
                            <w:proofErr w:type="spellStart"/>
                            <w:r>
                              <w:rPr>
                                <w:b/>
                                <w:color w:val="808080"/>
                                <w:sz w:val="16"/>
                              </w:rPr>
                              <w:t>Colace</w:t>
                            </w:r>
                            <w:proofErr w:type="spellEnd"/>
                            <w:r>
                              <w:rPr>
                                <w:b/>
                                <w:color w:val="808080"/>
                                <w:sz w:val="16"/>
                              </w:rPr>
                              <w:t xml:space="preserve">: </w:t>
                            </w:r>
                            <w:r>
                              <w:rPr>
                                <w:color w:val="0000FF"/>
                                <w:sz w:val="16"/>
                                <w:u w:val="single"/>
                              </w:rPr>
                              <w:t>clara.colace@interprofit.es</w:t>
                            </w:r>
                            <w:r>
                              <w:rPr>
                                <w:color w:val="808080"/>
                                <w:sz w:val="16"/>
                              </w:rPr>
                              <w:t xml:space="preserve"> </w:t>
                            </w:r>
                          </w:p>
                          <w:p w14:paraId="6D15683D" w14:textId="77777777" w:rsidR="008976ED" w:rsidRDefault="008976ED">
                            <w:pPr>
                              <w:spacing w:line="264" w:lineRule="auto"/>
                              <w:jc w:val="center"/>
                              <w:textDirection w:val="btLr"/>
                            </w:pPr>
                          </w:p>
                        </w:txbxContent>
                      </wps:txbx>
                      <wps:bodyPr spcFirstLastPara="1" wrap="square" lIns="91425" tIns="90000" rIns="91425" bIns="900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85725</wp:posOffset>
                </wp:positionV>
                <wp:extent cx="6153150" cy="581025"/>
                <wp:effectExtent b="0" l="0" r="0" t="0"/>
                <wp:wrapNone/>
                <wp:docPr id="1681942882" name="image9.png"/>
                <a:graphic>
                  <a:graphicData uri="http://schemas.openxmlformats.org/drawingml/2006/picture">
                    <pic:pic>
                      <pic:nvPicPr>
                        <pic:cNvPr id="0" name="image9.png"/>
                        <pic:cNvPicPr preferRelativeResize="0"/>
                      </pic:nvPicPr>
                      <pic:blipFill>
                        <a:blip r:embed="rId14"/>
                        <a:srcRect/>
                        <a:stretch>
                          <a:fillRect/>
                        </a:stretch>
                      </pic:blipFill>
                      <pic:spPr>
                        <a:xfrm>
                          <a:off x="0" y="0"/>
                          <a:ext cx="6153150" cy="581025"/>
                        </a:xfrm>
                        <a:prstGeom prst="rect"/>
                        <a:ln/>
                      </pic:spPr>
                    </pic:pic>
                  </a:graphicData>
                </a:graphic>
              </wp:anchor>
            </w:drawing>
          </mc:Fallback>
        </mc:AlternateContent>
      </w:r>
    </w:p>
    <w:p w14:paraId="4F294153" w14:textId="77777777" w:rsidR="008976ED" w:rsidRDefault="008976ED"/>
    <w:sectPr w:rsidR="008976ED">
      <w:headerReference w:type="default" r:id="rId15"/>
      <w:footerReference w:type="default" r:id="rId1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96B27" w14:textId="77777777" w:rsidR="009F037A" w:rsidRDefault="009F037A">
      <w:pPr>
        <w:spacing w:line="240" w:lineRule="auto"/>
      </w:pPr>
      <w:r>
        <w:separator/>
      </w:r>
    </w:p>
  </w:endnote>
  <w:endnote w:type="continuationSeparator" w:id="0">
    <w:p w14:paraId="2A58A320" w14:textId="77777777" w:rsidR="009F037A" w:rsidRDefault="009F03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D4489" w14:textId="77777777" w:rsidR="008976ED" w:rsidRDefault="009F037A">
    <w:pPr>
      <w:pBdr>
        <w:top w:val="nil"/>
        <w:left w:val="nil"/>
        <w:bottom w:val="nil"/>
        <w:right w:val="nil"/>
        <w:between w:val="nil"/>
      </w:pBdr>
      <w:tabs>
        <w:tab w:val="center" w:pos="4252"/>
        <w:tab w:val="right" w:pos="8504"/>
      </w:tabs>
      <w:spacing w:line="240" w:lineRule="auto"/>
      <w:rPr>
        <w:color w:val="000000"/>
      </w:rPr>
    </w:pPr>
    <w:r>
      <w:rPr>
        <w:noProof/>
      </w:rPr>
      <mc:AlternateContent>
        <mc:Choice Requires="wpg">
          <w:drawing>
            <wp:anchor distT="0" distB="0" distL="114300" distR="114300" simplePos="0" relativeHeight="251659264" behindDoc="0" locked="0" layoutInCell="1" hidden="0" allowOverlap="1" wp14:anchorId="1FB4F160" wp14:editId="7B9CA85E">
              <wp:simplePos x="0" y="0"/>
              <wp:positionH relativeFrom="column">
                <wp:posOffset>-914399</wp:posOffset>
              </wp:positionH>
              <wp:positionV relativeFrom="paragraph">
                <wp:posOffset>10058400</wp:posOffset>
              </wp:positionV>
              <wp:extent cx="7686040" cy="396875"/>
              <wp:effectExtent l="0" t="0" r="0" b="0"/>
              <wp:wrapNone/>
              <wp:docPr id="1681942880" name="" descr="{&quot;HashCode&quot;:1859994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4893" y="3643475"/>
                        <a:ext cx="7562215" cy="273050"/>
                      </a:xfrm>
                      <a:prstGeom prst="rect">
                        <a:avLst/>
                      </a:prstGeom>
                      <a:noFill/>
                      <a:ln>
                        <a:noFill/>
                      </a:ln>
                    </wps:spPr>
                    <wps:txbx>
                      <w:txbxContent>
                        <w:p w14:paraId="3BD7AC7B" w14:textId="77777777" w:rsidR="008976ED" w:rsidRDefault="009F037A">
                          <w:pPr>
                            <w:spacing w:line="275" w:lineRule="auto"/>
                            <w:jc w:val="right"/>
                            <w:textDirection w:val="btLr"/>
                          </w:pPr>
                          <w:proofErr w:type="spellStart"/>
                          <w:proofErr w:type="gramStart"/>
                          <w:r>
                            <w:rPr>
                              <w:rFonts w:ascii="Calibri" w:eastAsia="Calibri" w:hAnsi="Calibri" w:cs="Calibri"/>
                              <w:color w:val="0000FF"/>
                              <w:sz w:val="20"/>
                            </w:rPr>
                            <w:t>Classification</w:t>
                          </w:r>
                          <w:proofErr w:type="spellEnd"/>
                          <w:r>
                            <w:rPr>
                              <w:rFonts w:ascii="Calibri" w:eastAsia="Calibri" w:hAnsi="Calibri" w:cs="Calibri"/>
                              <w:color w:val="0000FF"/>
                              <w:sz w:val="20"/>
                            </w:rPr>
                            <w:t xml:space="preserve"> :</w:t>
                          </w:r>
                          <w:proofErr w:type="gramEnd"/>
                          <w:r>
                            <w:rPr>
                              <w:rFonts w:ascii="Calibri" w:eastAsia="Calibri" w:hAnsi="Calibri" w:cs="Calibri"/>
                              <w:color w:val="0000FF"/>
                              <w:sz w:val="20"/>
                            </w:rPr>
                            <w:t xml:space="preserve"> </w:t>
                          </w:r>
                          <w:proofErr w:type="spellStart"/>
                          <w:r>
                            <w:rPr>
                              <w:rFonts w:ascii="Calibri" w:eastAsia="Calibri" w:hAnsi="Calibri" w:cs="Calibri"/>
                              <w:color w:val="0000FF"/>
                              <w:sz w:val="20"/>
                            </w:rPr>
                            <w:t>Internal</w:t>
                          </w:r>
                          <w:proofErr w:type="spellEnd"/>
                        </w:p>
                      </w:txbxContent>
                    </wps:txbx>
                    <wps:bodyPr spcFirstLastPara="1" wrap="square" lIns="91425" tIns="0" rIns="254000" bIns="0" anchor="b"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-914399</wp:posOffset>
              </wp:positionH>
              <wp:positionV relativeFrom="paragraph">
                <wp:posOffset>10058400</wp:posOffset>
              </wp:positionV>
              <wp:extent cx="7686040" cy="396875"/>
              <wp:effectExtent b="0" l="0" r="0" t="0"/>
              <wp:wrapNone/>
              <wp:docPr descr="{&quot;HashCode&quot;:1859994762,&quot;Height&quot;:841.0,&quot;Width&quot;:595.0,&quot;Placement&quot;:&quot;Footer&quot;,&quot;Index&quot;:&quot;Primary&quot;,&quot;Section&quot;:1,&quot;Top&quot;:0.0,&quot;Left&quot;:0.0}" id="1681942880" name="image7.png"/>
              <a:graphic>
                <a:graphicData uri="http://schemas.openxmlformats.org/drawingml/2006/picture">
                  <pic:pic>
                    <pic:nvPicPr>
                      <pic:cNvPr descr="{&quot;HashCode&quot;:1859994762,&quot;Height&quot;:841.0,&quot;Width&quot;:595.0,&quot;Placement&quot;:&quot;Footer&quot;,&quot;Index&quot;:&quot;Primary&quot;,&quot;Section&quot;:1,&quot;Top&quot;:0.0,&quot;Left&quot;:0.0}" id="0" name="image7.png"/>
                      <pic:cNvPicPr preferRelativeResize="0"/>
                    </pic:nvPicPr>
                    <pic:blipFill>
                      <a:blip r:embed="rId1"/>
                      <a:srcRect/>
                      <a:stretch>
                        <a:fillRect/>
                      </a:stretch>
                    </pic:blipFill>
                    <pic:spPr>
                      <a:xfrm>
                        <a:off x="0" y="0"/>
                        <a:ext cx="7686040" cy="39687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2DE84" w14:textId="77777777" w:rsidR="009F037A" w:rsidRDefault="009F037A">
      <w:pPr>
        <w:spacing w:line="240" w:lineRule="auto"/>
      </w:pPr>
      <w:r>
        <w:separator/>
      </w:r>
    </w:p>
  </w:footnote>
  <w:footnote w:type="continuationSeparator" w:id="0">
    <w:p w14:paraId="19E79240" w14:textId="77777777" w:rsidR="009F037A" w:rsidRDefault="009F03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7C9CB" w14:textId="77777777" w:rsidR="008976ED" w:rsidRDefault="009F037A">
    <w:pPr>
      <w:jc w:val="right"/>
      <w:rPr>
        <w:rFonts w:ascii="Calibri" w:eastAsia="Calibri" w:hAnsi="Calibri" w:cs="Calibri"/>
      </w:rPr>
    </w:pPr>
    <w:r>
      <w:rPr>
        <w:noProof/>
      </w:rPr>
      <w:drawing>
        <wp:anchor distT="114300" distB="114300" distL="114300" distR="114300" simplePos="0" relativeHeight="251658240" behindDoc="0" locked="0" layoutInCell="1" hidden="0" allowOverlap="1" wp14:anchorId="5BEF408F" wp14:editId="048C9175">
          <wp:simplePos x="0" y="0"/>
          <wp:positionH relativeFrom="column">
            <wp:posOffset>-78045</wp:posOffset>
          </wp:positionH>
          <wp:positionV relativeFrom="paragraph">
            <wp:posOffset>-121908</wp:posOffset>
          </wp:positionV>
          <wp:extent cx="1995854" cy="534670"/>
          <wp:effectExtent l="0" t="0" r="0" b="0"/>
          <wp:wrapNone/>
          <wp:docPr id="168194288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r="54553"/>
                  <a:stretch>
                    <a:fillRect/>
                  </a:stretch>
                </pic:blipFill>
                <pic:spPr>
                  <a:xfrm>
                    <a:off x="0" y="0"/>
                    <a:ext cx="1995854" cy="534670"/>
                  </a:xfrm>
                  <a:prstGeom prst="rect">
                    <a:avLst/>
                  </a:prstGeom>
                  <a:ln/>
                </pic:spPr>
              </pic:pic>
            </a:graphicData>
          </a:graphic>
        </wp:anchor>
      </w:drawing>
    </w:r>
  </w:p>
  <w:p w14:paraId="12054AAA" w14:textId="77777777" w:rsidR="008976ED" w:rsidRDefault="009F037A">
    <w:pPr>
      <w:jc w:val="right"/>
    </w:pP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9920A7"/>
    <w:multiLevelType w:val="multilevel"/>
    <w:tmpl w:val="C9F664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94009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6ED"/>
    <w:rsid w:val="000D198E"/>
    <w:rsid w:val="008976ED"/>
    <w:rsid w:val="009F03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E3535"/>
  <w15:docId w15:val="{CE4E1A74-0CB4-457E-AAB6-D8F463ED7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F71DAD"/>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F71DAD"/>
  </w:style>
  <w:style w:type="paragraph" w:styleId="Piedepgina">
    <w:name w:val="footer"/>
    <w:basedOn w:val="Normal"/>
    <w:link w:val="PiedepginaCar"/>
    <w:uiPriority w:val="99"/>
    <w:unhideWhenUsed/>
    <w:rsid w:val="00F71DAD"/>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F71DAD"/>
  </w:style>
  <w:style w:type="paragraph" w:styleId="Prrafodelista">
    <w:name w:val="List Paragraph"/>
    <w:basedOn w:val="Normal"/>
    <w:uiPriority w:val="34"/>
    <w:qFormat/>
    <w:rsid w:val="004A23AB"/>
    <w:pPr>
      <w:ind w:left="720"/>
      <w:contextualSpacing/>
    </w:pPr>
  </w:style>
  <w:style w:type="paragraph" w:customStyle="1" w:styleId="gutentor-text">
    <w:name w:val="gutentor-text"/>
    <w:basedOn w:val="Normal"/>
    <w:rsid w:val="00770874"/>
    <w:pPr>
      <w:spacing w:before="100" w:beforeAutospacing="1" w:after="100" w:afterAutospacing="1" w:line="240" w:lineRule="auto"/>
    </w:pPr>
    <w:rPr>
      <w:rFonts w:ascii="Times New Roman" w:eastAsia="Times New Roman" w:hAnsi="Times New Roman" w:cs="Times New Roman"/>
      <w:sz w:val="24"/>
      <w:szCs w:val="24"/>
      <w:lang w:val="es-ES"/>
    </w:rPr>
  </w:style>
  <w:style w:type="character" w:styleId="Refdecomentario">
    <w:name w:val="annotation reference"/>
    <w:basedOn w:val="Fuentedeprrafopredeter"/>
    <w:uiPriority w:val="99"/>
    <w:semiHidden/>
    <w:unhideWhenUsed/>
    <w:rsid w:val="009168EC"/>
    <w:rPr>
      <w:sz w:val="16"/>
      <w:szCs w:val="16"/>
    </w:rPr>
  </w:style>
  <w:style w:type="paragraph" w:styleId="Textocomentario">
    <w:name w:val="annotation text"/>
    <w:basedOn w:val="Normal"/>
    <w:link w:val="TextocomentarioCar"/>
    <w:uiPriority w:val="99"/>
    <w:unhideWhenUsed/>
    <w:rsid w:val="009168EC"/>
    <w:pPr>
      <w:spacing w:line="240" w:lineRule="auto"/>
    </w:pPr>
    <w:rPr>
      <w:sz w:val="20"/>
      <w:szCs w:val="20"/>
    </w:rPr>
  </w:style>
  <w:style w:type="character" w:customStyle="1" w:styleId="TextocomentarioCar">
    <w:name w:val="Texto comentario Car"/>
    <w:basedOn w:val="Fuentedeprrafopredeter"/>
    <w:link w:val="Textocomentario"/>
    <w:uiPriority w:val="99"/>
    <w:rsid w:val="009168EC"/>
    <w:rPr>
      <w:sz w:val="20"/>
      <w:szCs w:val="20"/>
    </w:rPr>
  </w:style>
  <w:style w:type="character" w:styleId="Hipervnculo">
    <w:name w:val="Hyperlink"/>
    <w:basedOn w:val="Fuentedeprrafopredeter"/>
    <w:uiPriority w:val="99"/>
    <w:unhideWhenUsed/>
    <w:rsid w:val="004A3D2F"/>
    <w:rPr>
      <w:color w:val="0000FF"/>
      <w:u w:val="single"/>
    </w:rPr>
  </w:style>
  <w:style w:type="character" w:customStyle="1" w:styleId="ui-provider">
    <w:name w:val="ui-provider"/>
    <w:basedOn w:val="Fuentedeprrafopredeter"/>
    <w:rsid w:val="00111786"/>
  </w:style>
  <w:style w:type="character" w:styleId="Mencinsinresolver">
    <w:name w:val="Unresolved Mention"/>
    <w:basedOn w:val="Fuentedeprrafopredeter"/>
    <w:uiPriority w:val="99"/>
    <w:semiHidden/>
    <w:unhideWhenUsed/>
    <w:rsid w:val="008979B9"/>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EB40FE"/>
    <w:rPr>
      <w:b/>
      <w:bCs/>
    </w:rPr>
  </w:style>
  <w:style w:type="character" w:customStyle="1" w:styleId="AsuntodelcomentarioCar">
    <w:name w:val="Asunto del comentario Car"/>
    <w:basedOn w:val="TextocomentarioCar"/>
    <w:link w:val="Asuntodelcomentario"/>
    <w:uiPriority w:val="99"/>
    <w:semiHidden/>
    <w:rsid w:val="00EB40FE"/>
    <w:rPr>
      <w:b/>
      <w:bCs/>
      <w:sz w:val="20"/>
      <w:szCs w:val="20"/>
    </w:rPr>
  </w:style>
  <w:style w:type="paragraph" w:styleId="Revisin">
    <w:name w:val="Revision"/>
    <w:hidden/>
    <w:uiPriority w:val="99"/>
    <w:semiHidden/>
    <w:rsid w:val="00EB40F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9.pn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OquGpV9onV16SWYXQtnF4n05TA==">CgMxLjA4AHIhMW93RG5ZNG43UENXSnl6Mm1mU2M5d0dYbG9UNUhHX284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1087</Words>
  <Characters>5982</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 GARCIA-PERROTE PARDO DE SANTAYAN</dc:creator>
  <cp:lastModifiedBy>Carlos SANCHEZ SERRANO</cp:lastModifiedBy>
  <cp:revision>2</cp:revision>
  <dcterms:created xsi:type="dcterms:W3CDTF">2024-05-20T08:41:00Z</dcterms:created>
  <dcterms:modified xsi:type="dcterms:W3CDTF">2024-11-07T15:16:00Z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12e1ed0-4700-41e0-aec3-61ed249f3333_Enabled">
    <vt:lpwstr>true</vt:lpwstr>
  </property>
  <property fmtid="{D5CDD505-2E9C-101B-9397-08002B2CF9AE}" pid="3" name="MSIP_Label_812e1ed0-4700-41e0-aec3-61ed249f3333_SetDate">
    <vt:lpwstr>2022-03-30T09:53:16Z</vt:lpwstr>
  </property>
  <property fmtid="{D5CDD505-2E9C-101B-9397-08002B2CF9AE}" pid="4" name="MSIP_Label_812e1ed0-4700-41e0-aec3-61ed249f3333_Method">
    <vt:lpwstr>Standard</vt:lpwstr>
  </property>
  <property fmtid="{D5CDD505-2E9C-101B-9397-08002B2CF9AE}" pid="5" name="MSIP_Label_812e1ed0-4700-41e0-aec3-61ed249f3333_Name">
    <vt:lpwstr>Internal - Standard</vt:lpwstr>
  </property>
  <property fmtid="{D5CDD505-2E9C-101B-9397-08002B2CF9AE}" pid="6" name="MSIP_Label_812e1ed0-4700-41e0-aec3-61ed249f3333_SiteId">
    <vt:lpwstr>614f9c25-bffa-42c7-86d8-964101f55fa2</vt:lpwstr>
  </property>
  <property fmtid="{D5CDD505-2E9C-101B-9397-08002B2CF9AE}" pid="7" name="MSIP_Label_812e1ed0-4700-41e0-aec3-61ed249f3333_ActionId">
    <vt:lpwstr>96b2a666-4960-4287-a4bd-2b5fdd01e1e6</vt:lpwstr>
  </property>
  <property fmtid="{D5CDD505-2E9C-101B-9397-08002B2CF9AE}" pid="8" name="MSIP_Label_812e1ed0-4700-41e0-aec3-61ed249f3333_ContentBits">
    <vt:lpwstr>2</vt:lpwstr>
  </property>
</Properties>
</file>