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0F7A" w14:textId="77777777" w:rsidR="00CD6ED4" w:rsidRDefault="00E571D3">
      <w:pPr>
        <w:jc w:val="center"/>
        <w:rPr>
          <w:u w:val="single"/>
        </w:rPr>
      </w:pPr>
      <w:r>
        <w:rPr>
          <w:u w:val="single"/>
        </w:rPr>
        <w:t>INFORME - MERCADO DE OFICINAS T4 2023</w:t>
      </w:r>
      <w:r>
        <w:rPr>
          <w:noProof/>
        </w:rPr>
        <mc:AlternateContent>
          <mc:Choice Requires="wps">
            <w:drawing>
              <wp:anchor distT="0" distB="0" distL="0" distR="0" simplePos="0" relativeHeight="251658240" behindDoc="0" locked="0" layoutInCell="1" hidden="0" allowOverlap="1" wp14:anchorId="05C0F2B0" wp14:editId="562AEAFB">
                <wp:simplePos x="0" y="0"/>
                <wp:positionH relativeFrom="column">
                  <wp:posOffset>0</wp:posOffset>
                </wp:positionH>
                <wp:positionV relativeFrom="paragraph">
                  <wp:posOffset>342900</wp:posOffset>
                </wp:positionV>
                <wp:extent cx="5926455" cy="342900"/>
                <wp:effectExtent l="0" t="0" r="0" b="0"/>
                <wp:wrapSquare wrapText="bothSides" distT="0" distB="0" distL="0" distR="0"/>
                <wp:docPr id="29" name=""/>
                <wp:cNvGraphicFramePr/>
                <a:graphic xmlns:a="http://schemas.openxmlformats.org/drawingml/2006/main">
                  <a:graphicData uri="http://schemas.microsoft.com/office/word/2010/wordprocessingShape">
                    <wps:wsp>
                      <wps:cNvSpPr/>
                      <wps:spPr>
                        <a:xfrm>
                          <a:off x="2406585" y="3632363"/>
                          <a:ext cx="5878830" cy="295275"/>
                        </a:xfrm>
                        <a:prstGeom prst="rect">
                          <a:avLst/>
                        </a:prstGeom>
                        <a:solidFill>
                          <a:srgbClr val="00A76A"/>
                        </a:solidFill>
                        <a:ln>
                          <a:noFill/>
                        </a:ln>
                      </wps:spPr>
                      <wps:txbx>
                        <w:txbxContent>
                          <w:p w14:paraId="115FCF2C" w14:textId="77777777" w:rsidR="00CD6ED4" w:rsidRDefault="00E571D3">
                            <w:pPr>
                              <w:spacing w:line="264" w:lineRule="auto"/>
                              <w:jc w:val="center"/>
                              <w:textDirection w:val="btLr"/>
                            </w:pPr>
                            <w:r>
                              <w:rPr>
                                <w:b/>
                                <w:smallCaps/>
                                <w:color w:val="FFFFFF"/>
                                <w:sz w:val="24"/>
                              </w:rPr>
                              <w:t>NOTA DE PRENSA</w:t>
                            </w:r>
                          </w:p>
                        </w:txbxContent>
                      </wps:txbx>
                      <wps:bodyPr spcFirstLastPara="1" wrap="square" lIns="0" tIns="0" rIns="0" bIns="0" anchor="ctr" anchorCtr="0">
                        <a:noAutofit/>
                      </wps:bodyPr>
                    </wps:wsp>
                  </a:graphicData>
                </a:graphic>
              </wp:anchor>
            </w:drawing>
          </mc:Choice>
          <mc:Fallback>
            <w:pict>
              <v:rect w14:anchorId="05C0F2B0" id="_x0000_s1026" style="position:absolute;left:0;text-align:left;margin-left:0;margin-top:27pt;width:466.65pt;height:27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" fillcolor="#00a76a" stroked="f">
                <v:textbox inset="0,0,0,0">
                  <w:txbxContent>
                    <w:p w14:paraId="115FCF2C" w14:textId="77777777" w:rsidR="00CD6ED4" w:rsidRDefault="00E571D3">
                      <w:pPr>
                        <w:spacing w:line="264" w:lineRule="auto"/>
                        <w:jc w:val="center"/>
                        <w:textDirection w:val="btLr"/>
                      </w:pPr>
                      <w:r>
                        <w:rPr>
                          <w:b/>
                          <w:smallCaps/>
                          <w:color w:val="FFFFFF"/>
                          <w:sz w:val="24"/>
                        </w:rPr>
                        <w:t>NOTA DE PRENSA</w:t>
                      </w:r>
                    </w:p>
                  </w:txbxContent>
                </v:textbox>
                <w10:wrap type="square"/>
              </v:rect>
            </w:pict>
          </mc:Fallback>
        </mc:AlternateContent>
      </w:r>
    </w:p>
    <w:p w14:paraId="462DA365" w14:textId="77777777" w:rsidR="00CD6ED4" w:rsidRDefault="00CD6ED4">
      <w:pPr>
        <w:jc w:val="center"/>
        <w:rPr>
          <w:rFonts w:ascii="Arial Narrow" w:eastAsia="Arial Narrow" w:hAnsi="Arial Narrow" w:cs="Arial Narrow"/>
          <w:b/>
          <w:color w:val="007C50"/>
          <w:sz w:val="38"/>
          <w:szCs w:val="38"/>
          <w:highlight w:val="white"/>
        </w:rPr>
      </w:pPr>
    </w:p>
    <w:p w14:paraId="5FE23EFE" w14:textId="7B1F22B2" w:rsidR="00CD6ED4" w:rsidRDefault="00E571D3">
      <w:pPr>
        <w:jc w:val="center"/>
        <w:rPr>
          <w:rFonts w:ascii="Arial Narrow" w:eastAsia="Arial Narrow" w:hAnsi="Arial Narrow" w:cs="Arial Narrow"/>
          <w:b/>
          <w:color w:val="007C50"/>
          <w:sz w:val="32"/>
          <w:szCs w:val="32"/>
          <w:highlight w:val="white"/>
        </w:rPr>
      </w:pPr>
      <w:r>
        <w:rPr>
          <w:rFonts w:ascii="Arial Narrow" w:eastAsia="Arial Narrow" w:hAnsi="Arial Narrow" w:cs="Arial Narrow"/>
          <w:b/>
          <w:color w:val="007C50"/>
          <w:sz w:val="32"/>
          <w:szCs w:val="32"/>
          <w:highlight w:val="white"/>
        </w:rPr>
        <w:t>EL MERCADO DE OFICINAS DE VALENCIA SUPERA LA BARRERA DE LOS 50.000 m²</w:t>
      </w:r>
      <w:r w:rsidR="00D60EA3">
        <w:rPr>
          <w:rFonts w:ascii="Arial Narrow" w:eastAsia="Arial Narrow" w:hAnsi="Arial Narrow" w:cs="Arial Narrow"/>
          <w:b/>
          <w:color w:val="007C50"/>
          <w:sz w:val="32"/>
          <w:szCs w:val="32"/>
          <w:highlight w:val="white"/>
        </w:rPr>
        <w:t xml:space="preserve"> </w:t>
      </w:r>
      <w:r w:rsidR="00D60EA3" w:rsidRPr="00C2669F">
        <w:rPr>
          <w:rFonts w:ascii="Arial Narrow" w:eastAsia="Arial Narrow" w:hAnsi="Arial Narrow" w:cs="Arial Narrow"/>
          <w:b/>
          <w:color w:val="007C50"/>
          <w:sz w:val="32"/>
          <w:szCs w:val="32"/>
          <w:highlight w:val="white"/>
        </w:rPr>
        <w:t>CONTRATADOS</w:t>
      </w:r>
      <w:r>
        <w:rPr>
          <w:rFonts w:ascii="Arial Narrow" w:eastAsia="Arial Narrow" w:hAnsi="Arial Narrow" w:cs="Arial Narrow"/>
          <w:b/>
          <w:color w:val="007C50"/>
          <w:sz w:val="32"/>
          <w:szCs w:val="32"/>
          <w:highlight w:val="white"/>
        </w:rPr>
        <w:t xml:space="preserve">  </w:t>
      </w:r>
    </w:p>
    <w:p w14:paraId="0597864C" w14:textId="77777777" w:rsidR="00CD6ED4" w:rsidRDefault="00CD6ED4">
      <w:pPr>
        <w:pBdr>
          <w:top w:val="nil"/>
          <w:left w:val="nil"/>
          <w:bottom w:val="nil"/>
          <w:right w:val="nil"/>
          <w:between w:val="nil"/>
        </w:pBdr>
        <w:spacing w:after="0"/>
        <w:ind w:left="720"/>
        <w:jc w:val="center"/>
        <w:rPr>
          <w:b/>
        </w:rPr>
      </w:pPr>
    </w:p>
    <w:p w14:paraId="29762733" w14:textId="0E395115" w:rsidR="00806C69" w:rsidRPr="00806C69" w:rsidRDefault="00806C69" w:rsidP="00806C69">
      <w:pPr>
        <w:widowControl w:val="0"/>
        <w:numPr>
          <w:ilvl w:val="0"/>
          <w:numId w:val="1"/>
        </w:numPr>
        <w:spacing w:before="60" w:after="200"/>
        <w:jc w:val="both"/>
        <w:rPr>
          <w:b/>
        </w:rPr>
      </w:pPr>
      <w:r w:rsidRPr="00806C69">
        <w:rPr>
          <w:b/>
          <w:bCs/>
        </w:rPr>
        <w:t xml:space="preserve">El elevado dinamismo registrado en el mercado de oficinas de Valencia en el año 2023 ha presionado la tasa de disponibilidad </w:t>
      </w:r>
      <w:r w:rsidR="00E571D3">
        <w:rPr>
          <w:b/>
          <w:bCs/>
        </w:rPr>
        <w:t xml:space="preserve">de 2024 </w:t>
      </w:r>
      <w:r w:rsidRPr="00806C69">
        <w:rPr>
          <w:b/>
          <w:bCs/>
        </w:rPr>
        <w:t>a niveles mínimos históricos,</w:t>
      </w:r>
      <w:r>
        <w:rPr>
          <w:b/>
          <w:bCs/>
        </w:rPr>
        <w:t xml:space="preserve"> con un incremento de la contratación total del 6,2% con respecto a</w:t>
      </w:r>
      <w:r w:rsidR="00E571D3">
        <w:rPr>
          <w:b/>
          <w:bCs/>
        </w:rPr>
        <w:t>l año anterior.</w:t>
      </w:r>
    </w:p>
    <w:p w14:paraId="2107B3EE" w14:textId="5BE85153" w:rsidR="00CD6ED4" w:rsidRDefault="00E571D3">
      <w:pPr>
        <w:widowControl w:val="0"/>
        <w:numPr>
          <w:ilvl w:val="0"/>
          <w:numId w:val="1"/>
        </w:numPr>
        <w:spacing w:before="60" w:after="200" w:line="240" w:lineRule="auto"/>
        <w:jc w:val="both"/>
        <w:rPr>
          <w:b/>
        </w:rPr>
      </w:pPr>
      <w:r>
        <w:rPr>
          <w:b/>
        </w:rPr>
        <w:t xml:space="preserve">La superficie de </w:t>
      </w:r>
      <w:r w:rsidRPr="00C2669F">
        <w:rPr>
          <w:b/>
        </w:rPr>
        <w:t>oficinas</w:t>
      </w:r>
      <w:r w:rsidR="00195DD8" w:rsidRPr="00C2669F">
        <w:rPr>
          <w:b/>
        </w:rPr>
        <w:t xml:space="preserve"> contratada</w:t>
      </w:r>
      <w:r w:rsidRPr="00C2669F">
        <w:rPr>
          <w:b/>
        </w:rPr>
        <w:t xml:space="preserve"> </w:t>
      </w:r>
      <w:r>
        <w:rPr>
          <w:b/>
        </w:rPr>
        <w:t>registra un incremento anual del 6,2% respecto al 2022 con un 25% más de operaciones, lo que ha presionado la tasa de disponibilidad a niveles mínimos históricos (4,3%)</w:t>
      </w:r>
      <w:r w:rsidR="00C2669F">
        <w:rPr>
          <w:b/>
        </w:rPr>
        <w:t>.</w:t>
      </w:r>
      <w:r>
        <w:rPr>
          <w:b/>
        </w:rPr>
        <w:t xml:space="preserve">  </w:t>
      </w:r>
    </w:p>
    <w:p w14:paraId="712991E8" w14:textId="4FDD1268" w:rsidR="00E571D3" w:rsidRPr="00C2669F" w:rsidRDefault="00195DD8" w:rsidP="00BD0435">
      <w:pPr>
        <w:widowControl w:val="0"/>
        <w:numPr>
          <w:ilvl w:val="0"/>
          <w:numId w:val="1"/>
        </w:numPr>
        <w:spacing w:before="60" w:after="200" w:line="240" w:lineRule="auto"/>
        <w:jc w:val="both"/>
        <w:rPr>
          <w:b/>
        </w:rPr>
      </w:pPr>
      <w:r w:rsidRPr="00C2669F">
        <w:rPr>
          <w:b/>
        </w:rPr>
        <w:t xml:space="preserve">la renta media del mercado de Valencia y su corona metropolitana aumenta por tercer año consecutivo </w:t>
      </w:r>
      <w:r w:rsidR="00E571D3" w:rsidRPr="00C2669F">
        <w:rPr>
          <w:b/>
        </w:rPr>
        <w:t>situándose</w:t>
      </w:r>
      <w:r w:rsidRPr="00C2669F">
        <w:rPr>
          <w:b/>
        </w:rPr>
        <w:t xml:space="preserve"> en 12,06 €/m2/mes, </w:t>
      </w:r>
      <w:r w:rsidR="00E571D3" w:rsidRPr="00C2669F">
        <w:rPr>
          <w:b/>
        </w:rPr>
        <w:t>un</w:t>
      </w:r>
      <w:r w:rsidRPr="00C2669F">
        <w:rPr>
          <w:b/>
        </w:rPr>
        <w:t xml:space="preserve"> 8,6% </w:t>
      </w:r>
      <w:r w:rsidR="00E571D3" w:rsidRPr="00C2669F">
        <w:rPr>
          <w:b/>
        </w:rPr>
        <w:t>por encima del año anterior.</w:t>
      </w:r>
    </w:p>
    <w:p w14:paraId="132B8699" w14:textId="77777777" w:rsidR="00CD6ED4" w:rsidRDefault="00CD6ED4">
      <w:pPr>
        <w:widowControl w:val="0"/>
        <w:spacing w:after="0" w:line="240" w:lineRule="auto"/>
        <w:jc w:val="center"/>
        <w:rPr>
          <w:rFonts w:ascii="Arial" w:eastAsia="Arial" w:hAnsi="Arial" w:cs="Arial"/>
          <w:b/>
          <w:color w:val="92D050"/>
          <w:sz w:val="24"/>
          <w:szCs w:val="24"/>
        </w:rPr>
      </w:pPr>
    </w:p>
    <w:p w14:paraId="07D7682A" w14:textId="77777777" w:rsidR="00CD6ED4" w:rsidRDefault="00E571D3">
      <w:pPr>
        <w:widowControl w:val="0"/>
        <w:spacing w:after="0" w:line="240" w:lineRule="auto"/>
        <w:jc w:val="both"/>
      </w:pPr>
      <w:r>
        <w:rPr>
          <w:b/>
        </w:rPr>
        <w:t xml:space="preserve">Valencia, </w:t>
      </w:r>
      <w:proofErr w:type="spellStart"/>
      <w:r>
        <w:rPr>
          <w:b/>
        </w:rPr>
        <w:t>xxx</w:t>
      </w:r>
      <w:proofErr w:type="spellEnd"/>
      <w:r>
        <w:rPr>
          <w:b/>
        </w:rPr>
        <w:t xml:space="preserve"> de febrero de 2023.- </w:t>
      </w:r>
      <w:r>
        <w:t xml:space="preserve">BNP Paribas Real Estate presenta su último informe del mercado de oficinas de Valencia en el que recoge los principales </w:t>
      </w:r>
      <w:proofErr w:type="spellStart"/>
      <w:r>
        <w:rPr>
          <w:i/>
        </w:rPr>
        <w:t>insights</w:t>
      </w:r>
      <w:proofErr w:type="spellEnd"/>
      <w:r>
        <w:rPr>
          <w:i/>
        </w:rPr>
        <w:t xml:space="preserve"> </w:t>
      </w:r>
      <w:r>
        <w:t>que han marcado el ejercicio 2023.</w:t>
      </w:r>
    </w:p>
    <w:p w14:paraId="6DC3B8CB" w14:textId="77777777" w:rsidR="00CD6ED4" w:rsidRDefault="00CD6ED4">
      <w:pPr>
        <w:widowControl w:val="0"/>
        <w:spacing w:after="0" w:line="240" w:lineRule="auto"/>
        <w:jc w:val="both"/>
      </w:pPr>
    </w:p>
    <w:p w14:paraId="08954407" w14:textId="4F64A8BD" w:rsidR="00CD6ED4" w:rsidRDefault="00E571D3">
      <w:pPr>
        <w:widowControl w:val="0"/>
        <w:pBdr>
          <w:top w:val="nil"/>
          <w:left w:val="nil"/>
          <w:bottom w:val="nil"/>
          <w:right w:val="nil"/>
          <w:between w:val="nil"/>
        </w:pBdr>
        <w:spacing w:after="0" w:line="240" w:lineRule="auto"/>
        <w:jc w:val="both"/>
      </w:pPr>
      <w:r>
        <w:t xml:space="preserve">En el contexto actual, </w:t>
      </w:r>
      <w:r w:rsidRPr="00C2669F">
        <w:t>con las oficinas como palanca clave de atracción de talento, los inquilinos buscan espacios renovados que generen sinergias entre equipos y faciliten trabajos de coordinación o proyectos creativos. El parque de oficinas de Valencia tiene una alta tasa de inmuebles desactualizados en el centro, lo que ha provocado que, en 2023, la zona descentralizada, con más oficinas nuevas o renovadas</w:t>
      </w:r>
      <w:r>
        <w:t xml:space="preserve">, sea capaz de captar gran parte de la demanda. </w:t>
      </w:r>
    </w:p>
    <w:p w14:paraId="615F72D1" w14:textId="77777777" w:rsidR="00CD6ED4" w:rsidRDefault="00CD6ED4">
      <w:pPr>
        <w:widowControl w:val="0"/>
        <w:pBdr>
          <w:top w:val="nil"/>
          <w:left w:val="nil"/>
          <w:bottom w:val="nil"/>
          <w:right w:val="nil"/>
          <w:between w:val="nil"/>
        </w:pBdr>
        <w:spacing w:after="0" w:line="240" w:lineRule="auto"/>
        <w:jc w:val="both"/>
      </w:pPr>
    </w:p>
    <w:p w14:paraId="25C4B78F" w14:textId="4AA627E1" w:rsidR="00CD6ED4" w:rsidRDefault="00C2669F">
      <w:pPr>
        <w:widowControl w:val="0"/>
        <w:pBdr>
          <w:top w:val="nil"/>
          <w:left w:val="nil"/>
          <w:bottom w:val="nil"/>
          <w:right w:val="nil"/>
          <w:between w:val="nil"/>
        </w:pBdr>
        <w:spacing w:after="0" w:line="240" w:lineRule="auto"/>
        <w:jc w:val="both"/>
        <w:rPr>
          <w:rFonts w:ascii="Arial" w:eastAsia="Arial" w:hAnsi="Arial" w:cs="Arial"/>
          <w:sz w:val="16"/>
          <w:szCs w:val="16"/>
        </w:rPr>
      </w:pPr>
      <w:r>
        <w:t xml:space="preserve">Francisco López, </w:t>
      </w:r>
      <w:r>
        <w:rPr>
          <w:rStyle w:val="ui-provider"/>
        </w:rPr>
        <w:t xml:space="preserve">Head </w:t>
      </w:r>
      <w:proofErr w:type="spellStart"/>
      <w:r>
        <w:rPr>
          <w:rStyle w:val="ui-provider"/>
        </w:rPr>
        <w:t>of</w:t>
      </w:r>
      <w:proofErr w:type="spellEnd"/>
      <w:r>
        <w:rPr>
          <w:rStyle w:val="ui-provider"/>
        </w:rPr>
        <w:t xml:space="preserve"> </w:t>
      </w:r>
      <w:proofErr w:type="spellStart"/>
      <w:r>
        <w:rPr>
          <w:rStyle w:val="ui-provider"/>
        </w:rPr>
        <w:t>Asset</w:t>
      </w:r>
      <w:proofErr w:type="spellEnd"/>
      <w:r>
        <w:rPr>
          <w:rStyle w:val="ui-provider"/>
        </w:rPr>
        <w:t xml:space="preserve"> </w:t>
      </w:r>
      <w:proofErr w:type="spellStart"/>
      <w:r>
        <w:rPr>
          <w:rStyle w:val="ui-provider"/>
        </w:rPr>
        <w:t>Class</w:t>
      </w:r>
      <w:proofErr w:type="spellEnd"/>
      <w:r>
        <w:t xml:space="preserve">, </w:t>
      </w:r>
      <w:r w:rsidR="00E571D3">
        <w:t>ha declarado que</w:t>
      </w:r>
      <w:r>
        <w:t xml:space="preserve"> </w:t>
      </w:r>
      <w:r w:rsidR="00E571D3">
        <w:t>“</w:t>
      </w:r>
      <w:r>
        <w:t>e</w:t>
      </w:r>
      <w:r w:rsidR="00E571D3">
        <w:t xml:space="preserve">l elevado dinamismo registrado en el año 2023 ha presionado la tasa de disponibilidad a niveles mínimos históricos por tercer año consecutivo, condicionando las cifras de contratación que posiblemente hubiesen sido superiores con una mayor oferta de calidad. Es importante acelerar la renovación del parque consiguiendo superficies más grandes y activos adaptados a las necesidades de las nuevas generaciones”. </w:t>
      </w:r>
      <w:r w:rsidR="00E571D3">
        <w:rPr>
          <w:rFonts w:ascii="Arial" w:eastAsia="Arial" w:hAnsi="Arial" w:cs="Arial"/>
          <w:sz w:val="16"/>
          <w:szCs w:val="16"/>
        </w:rPr>
        <w:t xml:space="preserve"> </w:t>
      </w:r>
    </w:p>
    <w:p w14:paraId="06C2B78E" w14:textId="77777777" w:rsidR="00CD6ED4" w:rsidRDefault="00CD6ED4">
      <w:pPr>
        <w:widowControl w:val="0"/>
        <w:pBdr>
          <w:top w:val="nil"/>
          <w:left w:val="nil"/>
          <w:bottom w:val="nil"/>
          <w:right w:val="nil"/>
          <w:between w:val="nil"/>
        </w:pBdr>
        <w:spacing w:after="0" w:line="240" w:lineRule="auto"/>
        <w:jc w:val="both"/>
        <w:rPr>
          <w:rFonts w:ascii="Arial" w:eastAsia="Arial" w:hAnsi="Arial" w:cs="Arial"/>
          <w:sz w:val="16"/>
          <w:szCs w:val="16"/>
        </w:rPr>
      </w:pPr>
    </w:p>
    <w:p w14:paraId="77086473" w14:textId="77777777" w:rsidR="00CD6ED4" w:rsidRDefault="00CD6ED4">
      <w:pPr>
        <w:widowControl w:val="0"/>
        <w:pBdr>
          <w:top w:val="nil"/>
          <w:left w:val="nil"/>
          <w:bottom w:val="nil"/>
          <w:right w:val="nil"/>
          <w:between w:val="nil"/>
        </w:pBdr>
        <w:spacing w:after="0" w:line="240" w:lineRule="auto"/>
        <w:jc w:val="both"/>
        <w:rPr>
          <w:rFonts w:ascii="Arial" w:eastAsia="Arial" w:hAnsi="Arial" w:cs="Arial"/>
          <w:sz w:val="16"/>
          <w:szCs w:val="16"/>
        </w:rPr>
      </w:pPr>
    </w:p>
    <w:p w14:paraId="180293E1" w14:textId="63AA285C" w:rsidR="00CD6ED4" w:rsidRDefault="00E571D3">
      <w:pPr>
        <w:widowControl w:val="0"/>
        <w:spacing w:before="60" w:after="0" w:line="240" w:lineRule="auto"/>
        <w:jc w:val="both"/>
        <w:rPr>
          <w:rFonts w:ascii="Arial" w:eastAsia="Arial" w:hAnsi="Arial" w:cs="Arial"/>
          <w:b/>
          <w:sz w:val="16"/>
          <w:szCs w:val="16"/>
        </w:rPr>
      </w:pPr>
      <w:r>
        <w:rPr>
          <w:rFonts w:ascii="Arial" w:eastAsia="Arial" w:hAnsi="Arial" w:cs="Arial"/>
          <w:b/>
          <w:sz w:val="16"/>
          <w:szCs w:val="16"/>
        </w:rPr>
        <w:t>SUPER</w:t>
      </w:r>
      <w:r w:rsidRPr="00C2669F">
        <w:rPr>
          <w:rFonts w:ascii="Arial" w:eastAsia="Arial" w:hAnsi="Arial" w:cs="Arial"/>
          <w:b/>
          <w:sz w:val="16"/>
          <w:szCs w:val="16"/>
        </w:rPr>
        <w:t>AN</w:t>
      </w:r>
      <w:r>
        <w:rPr>
          <w:rFonts w:ascii="Arial" w:eastAsia="Arial" w:hAnsi="Arial" w:cs="Arial"/>
          <w:b/>
          <w:sz w:val="16"/>
          <w:szCs w:val="16"/>
        </w:rPr>
        <w:t>DO LA BARRERA DE LOS 50.000M2</w:t>
      </w:r>
    </w:p>
    <w:p w14:paraId="35EFDB35" w14:textId="77777777" w:rsidR="00CD6ED4" w:rsidRDefault="00E571D3">
      <w:pPr>
        <w:widowControl w:val="0"/>
        <w:spacing w:before="60" w:after="0" w:line="240" w:lineRule="auto"/>
        <w:jc w:val="both"/>
        <w:rPr>
          <w:rFonts w:ascii="Arial" w:eastAsia="Arial" w:hAnsi="Arial" w:cs="Arial"/>
          <w:sz w:val="16"/>
          <w:szCs w:val="16"/>
        </w:rPr>
      </w:pPr>
      <w:r>
        <w:t>La superficie de oficinas contratada en el año 2023 ha alcanzado la cifra de 51.024 m², situándose como el segundo año en la serie histórica, tras el año 2019 y registrando un incremento anual del 6,2% respecto al 2022. En este escenario, destaca la cantidad de demanda que queda insatisfecha dada la baja disponibilidad y el aumento de las demandas de superficies por encima de 1.000 m² y de 2.000 m², siendo las empresas tecnológicas las que más volumen de superficie demandan.</w:t>
      </w:r>
    </w:p>
    <w:p w14:paraId="4DB94A22" w14:textId="77777777" w:rsidR="00CD6ED4" w:rsidRDefault="00CD6ED4">
      <w:pPr>
        <w:widowControl w:val="0"/>
        <w:spacing w:before="60" w:after="0" w:line="240" w:lineRule="auto"/>
        <w:jc w:val="both"/>
        <w:rPr>
          <w:rFonts w:ascii="Arial" w:eastAsia="Arial" w:hAnsi="Arial" w:cs="Arial"/>
          <w:sz w:val="16"/>
          <w:szCs w:val="16"/>
        </w:rPr>
      </w:pPr>
    </w:p>
    <w:p w14:paraId="585DD7F0" w14:textId="77777777" w:rsidR="00CD6ED4" w:rsidRDefault="00E571D3">
      <w:pPr>
        <w:widowControl w:val="0"/>
        <w:pBdr>
          <w:top w:val="nil"/>
          <w:left w:val="nil"/>
          <w:bottom w:val="nil"/>
          <w:right w:val="nil"/>
          <w:between w:val="nil"/>
        </w:pBdr>
        <w:spacing w:before="60" w:after="0" w:line="240" w:lineRule="auto"/>
        <w:jc w:val="both"/>
      </w:pPr>
      <w:r>
        <w:t>Si se analiza el comportamiento de la demanda en el año 2023, se observa cómo la zona CENTRO ha sido la más contratada pero no la más demandada, aglutinando el 40% de la contratación y el 43% de las operaciones. La superficie media contratada en el centro se sitúa en los 380 m².</w:t>
      </w:r>
    </w:p>
    <w:p w14:paraId="2331E702" w14:textId="77777777" w:rsidR="00CD6ED4" w:rsidRDefault="00E571D3">
      <w:pPr>
        <w:widowControl w:val="0"/>
        <w:pBdr>
          <w:top w:val="nil"/>
          <w:left w:val="nil"/>
          <w:bottom w:val="nil"/>
          <w:right w:val="nil"/>
          <w:between w:val="nil"/>
        </w:pBdr>
        <w:spacing w:before="60" w:after="0" w:line="240" w:lineRule="auto"/>
        <w:jc w:val="both"/>
      </w:pPr>
      <w:r>
        <w:t xml:space="preserve">El área DESCENTRALIZADA, pese a ser la más demandada, ha concentrado el 34% de la absorción </w:t>
      </w:r>
      <w:r>
        <w:lastRenderedPageBreak/>
        <w:t xml:space="preserve">anual. La superficie media contratada de esta zona se ha situado en 411 m², fundamentalmente por la escasez de superficies disponibles por encima de los 1.000 m². </w:t>
      </w:r>
    </w:p>
    <w:p w14:paraId="4C7802E1" w14:textId="77777777" w:rsidR="00CD6ED4" w:rsidRDefault="00CD6ED4">
      <w:pPr>
        <w:widowControl w:val="0"/>
        <w:pBdr>
          <w:top w:val="nil"/>
          <w:left w:val="nil"/>
          <w:bottom w:val="nil"/>
          <w:right w:val="nil"/>
          <w:between w:val="nil"/>
        </w:pBdr>
        <w:spacing w:before="60" w:after="0" w:line="240" w:lineRule="auto"/>
        <w:jc w:val="both"/>
      </w:pPr>
    </w:p>
    <w:p w14:paraId="331352B2" w14:textId="38A19771" w:rsidR="00CD6ED4" w:rsidRDefault="00E571D3">
      <w:pPr>
        <w:widowControl w:val="0"/>
        <w:pBdr>
          <w:top w:val="nil"/>
          <w:left w:val="nil"/>
          <w:bottom w:val="nil"/>
          <w:right w:val="nil"/>
          <w:between w:val="nil"/>
        </w:pBdr>
        <w:spacing w:before="60" w:after="0" w:line="240" w:lineRule="auto"/>
        <w:jc w:val="both"/>
        <w:rPr>
          <w:b/>
        </w:rPr>
      </w:pPr>
      <w:r>
        <w:rPr>
          <w:b/>
        </w:rPr>
        <w:t>RECORTANDO LA BRECHA DE RENTAS CON BARCELONA Y MADRID</w:t>
      </w:r>
      <w:r w:rsidR="00D60EA3">
        <w:rPr>
          <w:b/>
        </w:rPr>
        <w:t>, FUERA DEL CBD</w:t>
      </w:r>
    </w:p>
    <w:p w14:paraId="07585228" w14:textId="77777777" w:rsidR="00CD6ED4" w:rsidRDefault="00E571D3">
      <w:pPr>
        <w:widowControl w:val="0"/>
        <w:spacing w:after="0" w:line="240" w:lineRule="auto"/>
        <w:jc w:val="both"/>
      </w:pPr>
      <w:r>
        <w:t>Cabe destacar que las últimas actualizaciones en las rentas de Valencia acortan la brecha con Madrid y Barcelona. En concreto, hay dos zonas que merecen ser estudiadas en detalle. Los principales edificios de la Zona Descentralizada en Valencia, fundamentalmente los ubicados en Cortes Valencianas, con rentas de hasta 16 € m²/mes, se sitúan en rentas de Arturo Soria (Madrid). Por otra parte, la Zona Prime de Valencia se mueve en una horquilla de rentas que en su punto máximo llega a los 17,00 € m²/mes acercándose a los 17,29 € m² de renta media en Barcelona Centro.</w:t>
      </w:r>
    </w:p>
    <w:p w14:paraId="625473B0" w14:textId="77777777" w:rsidR="00CD6ED4" w:rsidRDefault="00CD6ED4">
      <w:pPr>
        <w:widowControl w:val="0"/>
        <w:pBdr>
          <w:top w:val="nil"/>
          <w:left w:val="nil"/>
          <w:bottom w:val="nil"/>
          <w:right w:val="nil"/>
          <w:between w:val="nil"/>
        </w:pBdr>
        <w:spacing w:before="60" w:after="0" w:line="240" w:lineRule="auto"/>
        <w:jc w:val="both"/>
      </w:pPr>
    </w:p>
    <w:p w14:paraId="5CE718C1" w14:textId="77777777" w:rsidR="00CD6ED4" w:rsidRDefault="00E571D3">
      <w:pPr>
        <w:widowControl w:val="0"/>
        <w:pBdr>
          <w:top w:val="nil"/>
          <w:left w:val="nil"/>
          <w:bottom w:val="nil"/>
          <w:right w:val="nil"/>
          <w:between w:val="nil"/>
        </w:pBdr>
        <w:spacing w:before="60" w:after="0" w:line="240" w:lineRule="auto"/>
        <w:jc w:val="both"/>
        <w:rPr>
          <w:b/>
        </w:rPr>
      </w:pPr>
      <w:r>
        <w:rPr>
          <w:b/>
        </w:rPr>
        <w:t>INCREMENTO DE OFERTA EN 2024</w:t>
      </w:r>
    </w:p>
    <w:p w14:paraId="28AD7A95" w14:textId="5E6F6987" w:rsidR="00CD6ED4" w:rsidRPr="00C2669F" w:rsidRDefault="00E571D3">
      <w:pPr>
        <w:widowControl w:val="0"/>
        <w:pBdr>
          <w:top w:val="nil"/>
          <w:left w:val="nil"/>
          <w:bottom w:val="nil"/>
          <w:right w:val="nil"/>
          <w:between w:val="nil"/>
        </w:pBdr>
        <w:spacing w:before="60" w:after="0" w:line="240" w:lineRule="auto"/>
        <w:jc w:val="both"/>
      </w:pPr>
      <w:r>
        <w:t xml:space="preserve">Durante el segundo trimestre de </w:t>
      </w:r>
      <w:r w:rsidRPr="00C2669F">
        <w:t>2024, se incorporarán al mercado de oficinas de Valencia 8.000 m² en periferia. No obstante, esta incorporación al stock no rebajará la presión a la baja de la disponibilidad, puesto que la cantidad de demanda insatisfecha en 2023 será suficiente para completar el total de la superficie durante el tercer trimestre.</w:t>
      </w:r>
    </w:p>
    <w:p w14:paraId="22447122" w14:textId="77777777" w:rsidR="00CD6ED4" w:rsidRPr="00C2669F" w:rsidRDefault="00E571D3">
      <w:pPr>
        <w:widowControl w:val="0"/>
        <w:pBdr>
          <w:top w:val="nil"/>
          <w:left w:val="nil"/>
          <w:bottom w:val="nil"/>
          <w:right w:val="nil"/>
          <w:between w:val="nil"/>
        </w:pBdr>
        <w:spacing w:before="60" w:after="0" w:line="240" w:lineRule="auto"/>
        <w:jc w:val="both"/>
      </w:pPr>
      <w:r w:rsidRPr="00C2669F">
        <w:t xml:space="preserve">Dentro de las rehabilitaciones previstas, en el segundo trimestre del año, se entregará un innovador proyecto en Valencia Centro, con la rehabilitación integral de un edificio construido en 1976 y una superficie alquilable de aproximadamente 2.000 m² en el que se obtendrán las certificaciones Leed, </w:t>
      </w:r>
      <w:proofErr w:type="spellStart"/>
      <w:r w:rsidRPr="00C2669F">
        <w:t>Well</w:t>
      </w:r>
      <w:proofErr w:type="spellEnd"/>
      <w:r w:rsidRPr="00C2669F">
        <w:t xml:space="preserve"> y AIS.</w:t>
      </w:r>
    </w:p>
    <w:p w14:paraId="36B4F85F" w14:textId="77777777" w:rsidR="00CD6ED4" w:rsidRPr="00C2669F" w:rsidRDefault="00E571D3">
      <w:pPr>
        <w:widowControl w:val="0"/>
        <w:pBdr>
          <w:top w:val="nil"/>
          <w:left w:val="nil"/>
          <w:bottom w:val="nil"/>
          <w:right w:val="nil"/>
          <w:between w:val="nil"/>
        </w:pBdr>
        <w:spacing w:before="60" w:after="0" w:line="240" w:lineRule="auto"/>
        <w:jc w:val="both"/>
      </w:pPr>
      <w:r w:rsidRPr="00C2669F">
        <w:t>De cara al año 2024, no están previstas más entregas relevantes para el parque de oficinas de Valencia, si bien es cierto, para 2025 está prevista una promoción de gran formato con los más altos estándares de calidad.</w:t>
      </w:r>
    </w:p>
    <w:p w14:paraId="57A9383D" w14:textId="21E8EB6C" w:rsidR="00CD6ED4" w:rsidRDefault="00E571D3">
      <w:pPr>
        <w:widowControl w:val="0"/>
        <w:pBdr>
          <w:top w:val="nil"/>
          <w:left w:val="nil"/>
          <w:bottom w:val="nil"/>
          <w:right w:val="nil"/>
          <w:between w:val="nil"/>
        </w:pBdr>
        <w:spacing w:before="60" w:after="0" w:line="240" w:lineRule="auto"/>
        <w:jc w:val="both"/>
      </w:pPr>
      <w:r w:rsidRPr="00C2669F">
        <w:t>Aunque la zona que</w:t>
      </w:r>
      <w:r w:rsidR="00195DD8" w:rsidRPr="00C2669F">
        <w:t xml:space="preserve"> permite</w:t>
      </w:r>
      <w:r w:rsidRPr="00C2669F">
        <w:t xml:space="preserve"> más posibilidades de crecimiento</w:t>
      </w:r>
      <w:r w:rsidR="00195DD8" w:rsidRPr="00C2669F">
        <w:t xml:space="preserve"> </w:t>
      </w:r>
      <w:r w:rsidRPr="00C2669F">
        <w:t>a corto plazo es el entorno de Cortes Valenci</w:t>
      </w:r>
      <w:r w:rsidR="00195DD8" w:rsidRPr="00C2669F">
        <w:t>a</w:t>
      </w:r>
      <w:r w:rsidRPr="00C2669F">
        <w:t xml:space="preserve">nas, se siguen dilatando las decisiones de inicios de obra de nuevos </w:t>
      </w:r>
      <w:r w:rsidR="00D60EA3" w:rsidRPr="00C2669F">
        <w:t>edificios a</w:t>
      </w:r>
      <w:r w:rsidR="00195DD8" w:rsidRPr="00C2669F">
        <w:t xml:space="preserve"> pesar de que</w:t>
      </w:r>
      <w:r w:rsidRPr="00C2669F">
        <w:t xml:space="preserve"> el parque podría fácilmente aumentar en 30.000 m² y </w:t>
      </w:r>
      <w:r w:rsidR="00195DD8" w:rsidRPr="00C2669F">
        <w:t xml:space="preserve">se trata de una zona que </w:t>
      </w:r>
      <w:r w:rsidRPr="00C2669F">
        <w:t>registra actualmente una demanda alta, constante y de calidad.</w:t>
      </w:r>
    </w:p>
    <w:p w14:paraId="11DF734D" w14:textId="77777777" w:rsidR="00CD6ED4" w:rsidRDefault="00CD6ED4">
      <w:pPr>
        <w:widowControl w:val="0"/>
        <w:pBdr>
          <w:top w:val="nil"/>
          <w:left w:val="nil"/>
          <w:bottom w:val="nil"/>
          <w:right w:val="nil"/>
          <w:between w:val="nil"/>
        </w:pBdr>
        <w:spacing w:after="0" w:line="240" w:lineRule="auto"/>
        <w:jc w:val="both"/>
      </w:pPr>
    </w:p>
    <w:p w14:paraId="4456FD1B" w14:textId="77777777" w:rsidR="00CD6ED4" w:rsidRDefault="00CD6ED4">
      <w:pPr>
        <w:jc w:val="both"/>
        <w:rPr>
          <w:rFonts w:ascii="Arial" w:eastAsia="Arial" w:hAnsi="Arial" w:cs="Arial"/>
          <w:b/>
          <w:color w:val="92D050"/>
          <w:sz w:val="24"/>
          <w:szCs w:val="24"/>
        </w:rPr>
      </w:pPr>
    </w:p>
    <w:p w14:paraId="5838CE1F" w14:textId="77777777" w:rsidR="00CD6ED4" w:rsidRDefault="00CD6ED4">
      <w:pPr>
        <w:jc w:val="both"/>
        <w:rPr>
          <w:rFonts w:ascii="Arial" w:eastAsia="Arial" w:hAnsi="Arial" w:cs="Arial"/>
          <w:b/>
          <w:color w:val="92D050"/>
          <w:sz w:val="24"/>
          <w:szCs w:val="24"/>
        </w:rPr>
      </w:pPr>
    </w:p>
    <w:p w14:paraId="164868E2" w14:textId="77777777" w:rsidR="00CD6ED4" w:rsidRDefault="00E571D3">
      <w:pPr>
        <w:jc w:val="both"/>
        <w:rPr>
          <w:b/>
          <w:color w:val="004230"/>
        </w:rPr>
      </w:pPr>
      <w:r>
        <w:rPr>
          <w:b/>
          <w:color w:val="004230"/>
        </w:rPr>
        <w:t>BNP Paribas Real Estate en Valencia</w:t>
      </w:r>
    </w:p>
    <w:p w14:paraId="72EC75F9" w14:textId="77777777" w:rsidR="00CD6ED4" w:rsidRDefault="00E571D3">
      <w:pPr>
        <w:spacing w:line="240" w:lineRule="auto"/>
        <w:ind w:right="162"/>
        <w:jc w:val="both"/>
        <w:rPr>
          <w:color w:val="808080"/>
          <w:sz w:val="28"/>
          <w:szCs w:val="28"/>
          <w:highlight w:val="white"/>
        </w:rPr>
      </w:pPr>
      <w:r>
        <w:rPr>
          <w:color w:val="808080"/>
          <w:highlight w:val="white"/>
        </w:rPr>
        <w:t xml:space="preserve">BNP Paribas Real Estate cuenta con oficina en Valencia desde hace 25 años. La compañía ofrece servicio a sus clientes en toda la Comunidad Valenciana en inversión inmobiliaria, oficinas, retail, </w:t>
      </w:r>
      <w:proofErr w:type="gramStart"/>
      <w:r>
        <w:rPr>
          <w:color w:val="808080"/>
          <w:highlight w:val="white"/>
        </w:rPr>
        <w:t>living</w:t>
      </w:r>
      <w:proofErr w:type="gramEnd"/>
      <w:r>
        <w:rPr>
          <w:color w:val="808080"/>
          <w:highlight w:val="white"/>
        </w:rPr>
        <w:t xml:space="preserve"> e industrial/logística. El servicio de BNP Paribas Real Estate es global y cubre todas las necesidades del cliente del sector: comercialización de inmuebles, estudios de consultoría y </w:t>
      </w:r>
      <w:proofErr w:type="spellStart"/>
      <w:r>
        <w:rPr>
          <w:color w:val="808080"/>
          <w:highlight w:val="white"/>
        </w:rPr>
        <w:t>research</w:t>
      </w:r>
      <w:proofErr w:type="spellEnd"/>
      <w:r>
        <w:rPr>
          <w:color w:val="808080"/>
          <w:highlight w:val="white"/>
        </w:rPr>
        <w:t xml:space="preserve">, </w:t>
      </w:r>
      <w:proofErr w:type="spellStart"/>
      <w:r>
        <w:rPr>
          <w:color w:val="808080"/>
          <w:highlight w:val="white"/>
        </w:rPr>
        <w:t>property</w:t>
      </w:r>
      <w:proofErr w:type="spellEnd"/>
      <w:r>
        <w:rPr>
          <w:color w:val="808080"/>
          <w:highlight w:val="white"/>
        </w:rPr>
        <w:t xml:space="preserve"> </w:t>
      </w:r>
      <w:proofErr w:type="spellStart"/>
      <w:r>
        <w:rPr>
          <w:color w:val="808080"/>
          <w:highlight w:val="white"/>
        </w:rPr>
        <w:t>management</w:t>
      </w:r>
      <w:proofErr w:type="spellEnd"/>
      <w:r>
        <w:rPr>
          <w:color w:val="808080"/>
          <w:highlight w:val="white"/>
        </w:rPr>
        <w:t xml:space="preserve"> y valoraciones. BNP Paribas Real Estate se ha posicionado como uno de los actores principales del mercado inmobiliario en Valencia.</w:t>
      </w:r>
    </w:p>
    <w:p w14:paraId="7476C36C" w14:textId="77777777" w:rsidR="00CD6ED4" w:rsidRDefault="00CD6ED4">
      <w:pPr>
        <w:spacing w:line="240" w:lineRule="auto"/>
        <w:ind w:right="162"/>
        <w:jc w:val="both"/>
        <w:rPr>
          <w:b/>
          <w:color w:val="808080"/>
          <w:sz w:val="16"/>
          <w:szCs w:val="16"/>
          <w:highlight w:val="white"/>
        </w:rPr>
      </w:pPr>
    </w:p>
    <w:p w14:paraId="0B33EAB7" w14:textId="77777777" w:rsidR="00CD6ED4" w:rsidRDefault="00E571D3">
      <w:pPr>
        <w:jc w:val="both"/>
        <w:rPr>
          <w:color w:val="222222"/>
        </w:rPr>
      </w:pPr>
      <w:r>
        <w:rPr>
          <w:b/>
          <w:color w:val="004230"/>
          <w:sz w:val="18"/>
          <w:szCs w:val="18"/>
        </w:rPr>
        <w:t>Sobre BNP Paribas Real Estate</w:t>
      </w:r>
    </w:p>
    <w:p w14:paraId="61C03848" w14:textId="77777777" w:rsidR="00CD6ED4" w:rsidRDefault="00E571D3">
      <w:pPr>
        <w:spacing w:line="240" w:lineRule="auto"/>
        <w:ind w:right="162"/>
        <w:jc w:val="both"/>
      </w:pPr>
      <w:r>
        <w:rPr>
          <w:b/>
          <w:color w:val="808080"/>
          <w:sz w:val="16"/>
          <w:szCs w:val="16"/>
          <w:highlight w:val="white"/>
        </w:rPr>
        <w:t xml:space="preserve">BNP Paribas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5.000 empleados, BNP Paribas Real Estate, como consultora de servicios integrales, apoya a propietarios, arrendatarios, inversores y comunidades gracias a su experiencia local en 30 países (a través de sus oficinas propias y su red de alianzas) en Europa, Oriente Medio y Asia. BNP Paribas Real Estate forma parte del BNP </w:t>
      </w:r>
      <w:proofErr w:type="spellStart"/>
      <w:r>
        <w:rPr>
          <w:b/>
          <w:color w:val="808080"/>
          <w:sz w:val="16"/>
          <w:szCs w:val="16"/>
          <w:highlight w:val="white"/>
        </w:rPr>
        <w:t>Paribas</w:t>
      </w:r>
      <w:proofErr w:type="spellEnd"/>
      <w:r>
        <w:rPr>
          <w:b/>
          <w:color w:val="808080"/>
          <w:sz w:val="16"/>
          <w:szCs w:val="16"/>
          <w:highlight w:val="white"/>
        </w:rPr>
        <w:t xml:space="preserve"> </w:t>
      </w:r>
      <w:proofErr w:type="spellStart"/>
      <w:r>
        <w:rPr>
          <w:b/>
          <w:color w:val="808080"/>
          <w:sz w:val="16"/>
          <w:szCs w:val="16"/>
          <w:highlight w:val="white"/>
        </w:rPr>
        <w:t>Group</w:t>
      </w:r>
      <w:proofErr w:type="spellEnd"/>
      <w:r>
        <w:rPr>
          <w:b/>
          <w:color w:val="808080"/>
          <w:sz w:val="16"/>
          <w:szCs w:val="16"/>
          <w:highlight w:val="white"/>
        </w:rPr>
        <w:t>, líder mundial en servicios financieros.</w:t>
      </w:r>
    </w:p>
    <w:p w14:paraId="263C1F23" w14:textId="77777777" w:rsidR="00CD6ED4" w:rsidRDefault="00E571D3">
      <w:pPr>
        <w:spacing w:before="1"/>
        <w:rPr>
          <w:b/>
          <w:color w:val="808080"/>
          <w:sz w:val="16"/>
          <w:szCs w:val="16"/>
        </w:rPr>
      </w:pPr>
      <w:r>
        <w:rPr>
          <w:b/>
          <w:color w:val="004230"/>
          <w:sz w:val="18"/>
          <w:szCs w:val="18"/>
        </w:rPr>
        <w:t>Para más información</w:t>
      </w:r>
    </w:p>
    <w:p w14:paraId="6B835AA7" w14:textId="77777777" w:rsidR="00CD6ED4" w:rsidRDefault="00E571D3">
      <w:pPr>
        <w:spacing w:before="1"/>
        <w:rPr>
          <w:color w:val="0563C1"/>
          <w:sz w:val="16"/>
          <w:szCs w:val="16"/>
          <w:u w:val="single"/>
        </w:rPr>
      </w:pPr>
      <w:r>
        <w:rPr>
          <w:b/>
          <w:color w:val="808080"/>
          <w:sz w:val="16"/>
          <w:szCs w:val="16"/>
        </w:rPr>
        <w:lastRenderedPageBreak/>
        <w:t xml:space="preserve">Gina Berni: </w:t>
      </w:r>
      <w:hyperlink r:id="rId8">
        <w:r>
          <w:rPr>
            <w:b/>
            <w:color w:val="0563C1"/>
            <w:sz w:val="16"/>
            <w:szCs w:val="16"/>
            <w:u w:val="single"/>
          </w:rPr>
          <w:t xml:space="preserve">gina.berni@interprofit.es </w:t>
        </w:r>
      </w:hyperlink>
    </w:p>
    <w:p w14:paraId="2939A9D0" w14:textId="77777777" w:rsidR="00CD6ED4" w:rsidRDefault="00E571D3">
      <w:pPr>
        <w:rPr>
          <w:b/>
          <w:sz w:val="16"/>
          <w:szCs w:val="16"/>
        </w:rPr>
      </w:pPr>
      <w:r>
        <w:rPr>
          <w:b/>
          <w:color w:val="808080"/>
          <w:sz w:val="16"/>
          <w:szCs w:val="16"/>
        </w:rPr>
        <w:t xml:space="preserve">Valença Figuera:  Tel – 910 76 70 96– </w:t>
      </w:r>
      <w:hyperlink r:id="rId9">
        <w:r>
          <w:rPr>
            <w:b/>
            <w:color w:val="0563C1"/>
            <w:sz w:val="16"/>
            <w:szCs w:val="16"/>
            <w:u w:val="single"/>
          </w:rPr>
          <w:t>valenca.figuera@interprofit.es</w:t>
        </w:r>
      </w:hyperlink>
    </w:p>
    <w:p w14:paraId="24344ED4" w14:textId="77777777" w:rsidR="00CD6ED4" w:rsidRDefault="00CD6ED4"/>
    <w:sectPr w:rsidR="00CD6ED4">
      <w:headerReference w:type="even" r:id="rId10"/>
      <w:headerReference w:type="default" r:id="rId11"/>
      <w:footerReference w:type="even" r:id="rId12"/>
      <w:footerReference w:type="default" r:id="rId13"/>
      <w:headerReference w:type="first" r:id="rId14"/>
      <w:footerReference w:type="first" r:id="rId15"/>
      <w:pgSz w:w="11906" w:h="16838"/>
      <w:pgMar w:top="1417" w:right="1569"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1D27" w14:textId="77777777" w:rsidR="0098051C" w:rsidRDefault="00E571D3">
      <w:pPr>
        <w:spacing w:after="0" w:line="240" w:lineRule="auto"/>
      </w:pPr>
      <w:r>
        <w:separator/>
      </w:r>
    </w:p>
  </w:endnote>
  <w:endnote w:type="continuationSeparator" w:id="0">
    <w:p w14:paraId="3D9A8205" w14:textId="77777777" w:rsidR="0098051C" w:rsidRDefault="00E5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13CE" w14:textId="77777777" w:rsidR="00CD6ED4" w:rsidRDefault="00CD6ED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9E7E" w14:textId="1D90B49C" w:rsidR="00CD6ED4" w:rsidRDefault="00E571D3">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60288" behindDoc="0" locked="0" layoutInCell="0" allowOverlap="1" wp14:anchorId="536D8DBA" wp14:editId="7EC12E05">
              <wp:simplePos x="0" y="0"/>
              <wp:positionH relativeFrom="page">
                <wp:posOffset>0</wp:posOffset>
              </wp:positionH>
              <wp:positionV relativeFrom="page">
                <wp:posOffset>10227945</wp:posOffset>
              </wp:positionV>
              <wp:extent cx="7560310" cy="273050"/>
              <wp:effectExtent l="0" t="0" r="0" b="12700"/>
              <wp:wrapNone/>
              <wp:docPr id="1" name="MSIPCM761741508d4eb19e1918a0c0" descr="{&quot;HashCode&quot;:18786415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A7EBE" w14:textId="7912765C" w:rsidR="00E571D3" w:rsidRPr="00E571D3" w:rsidRDefault="00E571D3" w:rsidP="00E571D3">
                          <w:pPr>
                            <w:spacing w:after="0"/>
                            <w:jc w:val="right"/>
                            <w:rPr>
                              <w:color w:val="0078D7"/>
                              <w:sz w:val="20"/>
                            </w:rPr>
                          </w:pPr>
                          <w:proofErr w:type="spellStart"/>
                          <w:proofErr w:type="gramStart"/>
                          <w:r w:rsidRPr="00E571D3">
                            <w:rPr>
                              <w:color w:val="0078D7"/>
                              <w:sz w:val="20"/>
                            </w:rPr>
                            <w:t>Classification</w:t>
                          </w:r>
                          <w:proofErr w:type="spellEnd"/>
                          <w:r w:rsidRPr="00E571D3">
                            <w:rPr>
                              <w:color w:val="0078D7"/>
                              <w:sz w:val="20"/>
                            </w:rPr>
                            <w:t xml:space="preserve"> :</w:t>
                          </w:r>
                          <w:proofErr w:type="gramEnd"/>
                          <w:r w:rsidRPr="00E571D3">
                            <w:rPr>
                              <w:color w:val="0078D7"/>
                              <w:sz w:val="20"/>
                            </w:rPr>
                            <w:t xml:space="preserve"> </w:t>
                          </w:r>
                          <w:proofErr w:type="spellStart"/>
                          <w:r w:rsidRPr="00E571D3">
                            <w:rPr>
                              <w:color w:val="0078D7"/>
                              <w:sz w:val="20"/>
                            </w:rPr>
                            <w:t>Internal</w:t>
                          </w:r>
                          <w:proofErr w:type="spellEnd"/>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36D8DBA" id="_x0000_t202" coordsize="21600,21600" o:spt="202" path="m,l,21600r21600,l21600,xe">
              <v:stroke joinstyle="miter"/>
              <v:path gradientshapeok="t" o:connecttype="rect"/>
            </v:shapetype>
            <v:shape id="MSIPCM761741508d4eb19e1918a0c0" o:spid="_x0000_s1027" type="#_x0000_t202" alt="{&quot;HashCode&quot;:1878641529,&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025A7EBE" w14:textId="7912765C" w:rsidR="00E571D3" w:rsidRPr="00E571D3" w:rsidRDefault="00E571D3" w:rsidP="00E571D3">
                    <w:pPr>
                      <w:spacing w:after="0"/>
                      <w:jc w:val="right"/>
                      <w:rPr>
                        <w:color w:val="0078D7"/>
                        <w:sz w:val="20"/>
                      </w:rPr>
                    </w:pPr>
                    <w:proofErr w:type="spellStart"/>
                    <w:proofErr w:type="gramStart"/>
                    <w:r w:rsidRPr="00E571D3">
                      <w:rPr>
                        <w:color w:val="0078D7"/>
                        <w:sz w:val="20"/>
                      </w:rPr>
                      <w:t>Classification</w:t>
                    </w:r>
                    <w:proofErr w:type="spellEnd"/>
                    <w:r w:rsidRPr="00E571D3">
                      <w:rPr>
                        <w:color w:val="0078D7"/>
                        <w:sz w:val="20"/>
                      </w:rPr>
                      <w:t xml:space="preserve"> :</w:t>
                    </w:r>
                    <w:proofErr w:type="gramEnd"/>
                    <w:r w:rsidRPr="00E571D3">
                      <w:rPr>
                        <w:color w:val="0078D7"/>
                        <w:sz w:val="20"/>
                      </w:rPr>
                      <w:t xml:space="preserve"> </w:t>
                    </w:r>
                    <w:proofErr w:type="spellStart"/>
                    <w:r w:rsidRPr="00E571D3">
                      <w:rPr>
                        <w:color w:val="0078D7"/>
                        <w:sz w:val="20"/>
                      </w:rPr>
                      <w:t>Internal</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7456154" wp14:editId="5BB38771">
              <wp:simplePos x="0" y="0"/>
              <wp:positionH relativeFrom="column">
                <wp:posOffset>-1079499</wp:posOffset>
              </wp:positionH>
              <wp:positionV relativeFrom="paragraph">
                <wp:posOffset>10172700</wp:posOffset>
              </wp:positionV>
              <wp:extent cx="7598410" cy="311150"/>
              <wp:effectExtent l="0" t="0" r="0" b="0"/>
              <wp:wrapNone/>
              <wp:docPr id="28" name="" descr="{&quot;HashCode&quot;:13196532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FBAC248" w14:textId="77777777" w:rsidR="00CD6ED4" w:rsidRDefault="00E571D3">
                          <w:pPr>
                            <w:spacing w:after="0" w:line="258" w:lineRule="auto"/>
                            <w:jc w:val="right"/>
                            <w:textDirection w:val="btLr"/>
                          </w:pPr>
                          <w:proofErr w:type="spellStart"/>
                          <w:proofErr w:type="gramStart"/>
                          <w:r>
                            <w:rPr>
                              <w:color w:val="0078D7"/>
                              <w:sz w:val="20"/>
                            </w:rPr>
                            <w:t>Classification</w:t>
                          </w:r>
                          <w:proofErr w:type="spellEnd"/>
                          <w:r>
                            <w:rPr>
                              <w:color w:val="0078D7"/>
                              <w:sz w:val="20"/>
                            </w:rPr>
                            <w:t xml:space="preserve"> :</w:t>
                          </w:r>
                          <w:proofErr w:type="gramEnd"/>
                          <w:r>
                            <w:rPr>
                              <w:color w:val="0078D7"/>
                              <w:sz w:val="20"/>
                            </w:rPr>
                            <w:t xml:space="preserve"> </w:t>
                          </w:r>
                          <w:proofErr w:type="spellStart"/>
                          <w:r>
                            <w:rPr>
                              <w:color w:val="0078D7"/>
                              <w:sz w:val="20"/>
                            </w:rPr>
                            <w:t>Internal</w:t>
                          </w:r>
                          <w:proofErr w:type="spellEnd"/>
                        </w:p>
                      </w:txbxContent>
                    </wps:txbx>
                    <wps:bodyPr spcFirstLastPara="1" wrap="square" lIns="91425" tIns="0" rIns="254000" bIns="0" anchor="b" anchorCtr="0">
                      <a:noAutofit/>
                    </wps:bodyPr>
                  </wps:wsp>
                </a:graphicData>
              </a:graphic>
            </wp:anchor>
          </w:drawing>
        </mc:Choice>
        <mc:Fallback>
          <w:pict>
            <v:rect w14:anchorId="17456154" id="_x0000_s1028" alt="{&quot;HashCode&quot;:1319653229,&quot;Height&quot;:841.0,&quot;Width&quot;:595.0,&quot;Placement&quot;:&quot;Footer&quot;,&quot;Index&quot;:&quot;Primary&quot;,&quot;Section&quot;:1,&quot;Top&quot;:0.0,&quot;Left&quot;:0.0}" style="position:absolute;margin-left:-85pt;margin-top:801pt;width:598.3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" filled="f" stroked="f">
              <v:textbox inset="2.53958mm,0,20pt,0">
                <w:txbxContent>
                  <w:p w14:paraId="0FBAC248" w14:textId="77777777" w:rsidR="00CD6ED4" w:rsidRDefault="00E571D3">
                    <w:pPr>
                      <w:spacing w:after="0" w:line="258" w:lineRule="auto"/>
                      <w:jc w:val="right"/>
                      <w:textDirection w:val="btLr"/>
                    </w:pPr>
                    <w:proofErr w:type="spellStart"/>
                    <w:proofErr w:type="gramStart"/>
                    <w:r>
                      <w:rPr>
                        <w:color w:val="0078D7"/>
                        <w:sz w:val="20"/>
                      </w:rPr>
                      <w:t>Classification</w:t>
                    </w:r>
                    <w:proofErr w:type="spellEnd"/>
                    <w:r>
                      <w:rPr>
                        <w:color w:val="0078D7"/>
                        <w:sz w:val="20"/>
                      </w:rPr>
                      <w:t xml:space="preserve"> :</w:t>
                    </w:r>
                    <w:proofErr w:type="gramEnd"/>
                    <w:r>
                      <w:rPr>
                        <w:color w:val="0078D7"/>
                        <w:sz w:val="20"/>
                      </w:rPr>
                      <w:t xml:space="preserve"> </w:t>
                    </w:r>
                    <w:proofErr w:type="spellStart"/>
                    <w:r>
                      <w:rPr>
                        <w:color w:val="0078D7"/>
                        <w:sz w:val="20"/>
                      </w:rPr>
                      <w:t>Internal</w:t>
                    </w:r>
                    <w:proofErr w:type="spellEnd"/>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4933" w14:textId="77777777" w:rsidR="00CD6ED4" w:rsidRDefault="00CD6ED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7CFE" w14:textId="77777777" w:rsidR="0098051C" w:rsidRDefault="00E571D3">
      <w:pPr>
        <w:spacing w:after="0" w:line="240" w:lineRule="auto"/>
      </w:pPr>
      <w:r>
        <w:separator/>
      </w:r>
    </w:p>
  </w:footnote>
  <w:footnote w:type="continuationSeparator" w:id="0">
    <w:p w14:paraId="4607ECCA" w14:textId="77777777" w:rsidR="0098051C" w:rsidRDefault="00E5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847B" w14:textId="77777777" w:rsidR="00CD6ED4" w:rsidRDefault="00CD6ED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0DA0" w14:textId="77777777" w:rsidR="00CD6ED4" w:rsidRDefault="00E571D3">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417865B7" wp14:editId="42E2F107">
          <wp:simplePos x="0" y="0"/>
          <wp:positionH relativeFrom="column">
            <wp:posOffset>-546730</wp:posOffset>
          </wp:positionH>
          <wp:positionV relativeFrom="paragraph">
            <wp:posOffset>-192400</wp:posOffset>
          </wp:positionV>
          <wp:extent cx="1905000" cy="358775"/>
          <wp:effectExtent l="0" t="0" r="0" b="0"/>
          <wp:wrapSquare wrapText="bothSides" distT="0" distB="0" distL="114300" distR="114300"/>
          <wp:docPr id="30" name="image1.jpg" descr="K:\Edition Publicité\Ericka\CHARTE 2015\CHARTE\RE_BL_E_Q\RE_BL_E_Q.jpg"/>
          <wp:cNvGraphicFramePr/>
          <a:graphic xmlns:a="http://schemas.openxmlformats.org/drawingml/2006/main">
            <a:graphicData uri="http://schemas.openxmlformats.org/drawingml/2006/picture">
              <pic:pic xmlns:pic="http://schemas.openxmlformats.org/drawingml/2006/picture">
                <pic:nvPicPr>
                  <pic:cNvPr id="0" name="image1.jpg" descr="K:\Edition Publicité\Ericka\CHARTE 2015\CHARTE\RE_BL_E_Q\RE_BL_E_Q.jpg"/>
                  <pic:cNvPicPr preferRelativeResize="0"/>
                </pic:nvPicPr>
                <pic:blipFill>
                  <a:blip r:embed="rId1"/>
                  <a:srcRect l="5102" t="16953" b="19011"/>
                  <a:stretch>
                    <a:fillRect/>
                  </a:stretch>
                </pic:blipFill>
                <pic:spPr>
                  <a:xfrm>
                    <a:off x="0" y="0"/>
                    <a:ext cx="1905000" cy="3587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48E" w14:textId="77777777" w:rsidR="00CD6ED4" w:rsidRDefault="00CD6ED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4D25"/>
    <w:multiLevelType w:val="multilevel"/>
    <w:tmpl w:val="7DC46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316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4"/>
    <w:rsid w:val="00195DD8"/>
    <w:rsid w:val="00806C69"/>
    <w:rsid w:val="0098051C"/>
    <w:rsid w:val="00C2669F"/>
    <w:rsid w:val="00CD6ED4"/>
    <w:rsid w:val="00D60EA3"/>
    <w:rsid w:val="00E571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45CF4"/>
  <w15:docId w15:val="{2AE2791F-5D61-4CC4-B194-9B07153A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Prrafodelista">
    <w:name w:val="List Paragraph"/>
    <w:basedOn w:val="Normal"/>
    <w:uiPriority w:val="34"/>
    <w:qFormat/>
    <w:rsid w:val="00290B22"/>
    <w:pPr>
      <w:ind w:left="720"/>
      <w:contextualSpacing/>
    </w:pPr>
  </w:style>
  <w:style w:type="character" w:styleId="Hipervnculo">
    <w:name w:val="Hyperlink"/>
    <w:basedOn w:val="Fuentedeprrafopredeter"/>
    <w:uiPriority w:val="99"/>
    <w:semiHidden/>
    <w:unhideWhenUsed/>
    <w:rsid w:val="003C631E"/>
    <w:rPr>
      <w:color w:val="0000FF"/>
      <w:u w:val="single"/>
    </w:rPr>
  </w:style>
  <w:style w:type="paragraph" w:styleId="Encabezado">
    <w:name w:val="header"/>
    <w:basedOn w:val="Normal"/>
    <w:link w:val="EncabezadoCar"/>
    <w:uiPriority w:val="99"/>
    <w:unhideWhenUsed/>
    <w:rsid w:val="00EB51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51C1"/>
  </w:style>
  <w:style w:type="paragraph" w:styleId="Piedepgina">
    <w:name w:val="footer"/>
    <w:basedOn w:val="Normal"/>
    <w:link w:val="PiedepginaCar"/>
    <w:uiPriority w:val="99"/>
    <w:unhideWhenUsed/>
    <w:rsid w:val="00EB51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51C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F2E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BF2E56"/>
    <w:rPr>
      <w:b/>
      <w:bCs/>
    </w:rPr>
  </w:style>
  <w:style w:type="character" w:customStyle="1" w:styleId="AsuntodelcomentarioCar">
    <w:name w:val="Asunto del comentario Car"/>
    <w:basedOn w:val="TextocomentarioCar"/>
    <w:link w:val="Asuntodelcomentario"/>
    <w:uiPriority w:val="99"/>
    <w:semiHidden/>
    <w:rsid w:val="00BF2E56"/>
    <w:rPr>
      <w:b/>
      <w:bCs/>
      <w:sz w:val="20"/>
      <w:szCs w:val="20"/>
    </w:rPr>
  </w:style>
  <w:style w:type="table" w:customStyle="1" w:styleId="4">
    <w:name w:val="4"/>
    <w:basedOn w:val="Tablanormal"/>
    <w:tblPr>
      <w:tblStyleRowBandSize w:val="1"/>
      <w:tblStyleColBandSize w:val="1"/>
      <w:tblCellMar>
        <w:top w:w="100" w:type="dxa"/>
        <w:left w:w="100" w:type="dxa"/>
        <w:bottom w:w="100" w:type="dxa"/>
        <w:right w:w="100" w:type="dxa"/>
      </w:tblCellMar>
    </w:tblPr>
  </w:style>
  <w:style w:type="table" w:customStyle="1" w:styleId="3">
    <w:name w:val="3"/>
    <w:basedOn w:val="Tablanormal"/>
    <w:tblPr>
      <w:tblStyleRowBandSize w:val="1"/>
      <w:tblStyleColBandSize w:val="1"/>
      <w:tblCellMar>
        <w:top w:w="100" w:type="dxa"/>
        <w:left w:w="100" w:type="dxa"/>
        <w:bottom w:w="100" w:type="dxa"/>
        <w:right w:w="100" w:type="dxa"/>
      </w:tblCellMar>
    </w:tblPr>
  </w:style>
  <w:style w:type="table" w:customStyle="1" w:styleId="2">
    <w:name w:val="2"/>
    <w:basedOn w:val="Tablanormal"/>
    <w:tblPr>
      <w:tblStyleRowBandSize w:val="1"/>
      <w:tblStyleColBandSize w:val="1"/>
      <w:tblCellMar>
        <w:top w:w="100" w:type="dxa"/>
        <w:left w:w="100" w:type="dxa"/>
        <w:bottom w:w="100" w:type="dxa"/>
        <w:right w:w="100" w:type="dxa"/>
      </w:tblCellMar>
    </w:tblPr>
  </w:style>
  <w:style w:type="table" w:customStyle="1" w:styleId="1">
    <w:name w:val="1"/>
    <w:basedOn w:val="Tablanormal"/>
    <w:tblPr>
      <w:tblStyleRowBandSize w:val="1"/>
      <w:tblStyleColBandSize w:val="1"/>
      <w:tblCellMar>
        <w:top w:w="100" w:type="dxa"/>
        <w:left w:w="100" w:type="dxa"/>
        <w:bottom w:w="100" w:type="dxa"/>
        <w:right w:w="100" w:type="dxa"/>
      </w:tblCellMar>
    </w:tblPr>
  </w:style>
  <w:style w:type="character" w:customStyle="1" w:styleId="ui-provider">
    <w:name w:val="ui-provider"/>
    <w:basedOn w:val="Fuentedeprrafopredeter"/>
    <w:rsid w:val="00C2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8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na.berni@interprofit.es%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lenca.figuera@interprofit.es%2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BMfeqVuhtpyxowbTGn/nM4fHw==">CgMxLjA4AHIhMTEyS2VXNXAyejJodzdraS0tS25hWFVPNGZ4U0xTemFv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982</Words>
  <Characters>5402</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BNP Paribas</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Interprofit Office</dc:creator>
  <cp:lastModifiedBy>Maria GONZALEZ CORISCO</cp:lastModifiedBy>
  <cp:revision>2</cp:revision>
  <dcterms:created xsi:type="dcterms:W3CDTF">2024-02-23T13:04:00Z</dcterms:created>
  <dcterms:modified xsi:type="dcterms:W3CDTF">2024-02-23T13:04:00Z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2024-02-23T13:04:40Z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15171409-6714-40b4-b831-f99dbaa5e004</vt:lpwstr>
  </property>
  <property fmtid="{D5CDD505-2E9C-101B-9397-08002B2CF9AE}" pid="8" name="MSIP_Label_8ffbc0b8-e97b-47d1-beac-cb0955d66f3b_ContentBits">
    <vt:lpwstr>2</vt:lpwstr>
  </property>
</Properties>
</file>